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39"/>
        <w:tblW w:w="16178" w:type="dxa"/>
        <w:tblBorders>
          <w:top w:val="single" w:sz="12" w:space="0" w:color="D5D5D5"/>
          <w:left w:val="single" w:sz="12" w:space="0" w:color="D5D5D5"/>
          <w:bottom w:val="single" w:sz="12" w:space="0" w:color="D5D5D5"/>
          <w:right w:val="single" w:sz="12" w:space="0" w:color="D5D5D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9013"/>
      </w:tblGrid>
      <w:tr w:rsidR="000254FB" w:rsidRPr="000254FB" w14:paraId="60DFA9FB" w14:textId="77777777" w:rsidTr="000254FB">
        <w:trPr>
          <w:tblHeader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69CAB" w14:textId="77777777" w:rsidR="000254FB" w:rsidRPr="000254FB" w:rsidRDefault="000254FB" w:rsidP="000254FB">
            <w:pPr>
              <w:rPr>
                <w:b/>
                <w:bCs/>
              </w:rPr>
            </w:pPr>
            <w:r w:rsidRPr="000254FB">
              <w:rPr>
                <w:b/>
                <w:bCs/>
              </w:rPr>
              <w:t>Section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54547" w14:textId="77777777" w:rsidR="000254FB" w:rsidRPr="000254FB" w:rsidRDefault="000254FB" w:rsidP="000254FB">
            <w:pPr>
              <w:rPr>
                <w:b/>
                <w:bCs/>
              </w:rPr>
            </w:pPr>
            <w:r w:rsidRPr="000254FB">
              <w:rPr>
                <w:b/>
                <w:bCs/>
              </w:rPr>
              <w:t>Rationale</w:t>
            </w:r>
          </w:p>
        </w:tc>
      </w:tr>
      <w:tr w:rsidR="000254FB" w:rsidRPr="000254FB" w14:paraId="3D4DEEED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8DF51" w14:textId="77777777" w:rsidR="000254FB" w:rsidRPr="000254FB" w:rsidRDefault="000254FB" w:rsidP="000254FB">
            <w:r w:rsidRPr="000254FB">
              <w:rPr>
                <w:b/>
                <w:bCs/>
              </w:rPr>
              <w:t>Gastro-Intestinal System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C1E29" w14:textId="77777777" w:rsidR="000254FB" w:rsidRPr="000254FB" w:rsidRDefault="000254FB" w:rsidP="000254FB">
            <w:r w:rsidRPr="000254FB">
              <w:t> </w:t>
            </w:r>
          </w:p>
        </w:tc>
      </w:tr>
      <w:tr w:rsidR="000254FB" w:rsidRPr="000254FB" w14:paraId="7AE42EEB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3C061" w14:textId="77777777" w:rsidR="000254FB" w:rsidRPr="000254FB" w:rsidRDefault="000254FB" w:rsidP="000254FB">
            <w:r w:rsidRPr="000254FB">
              <w:rPr>
                <w:b/>
                <w:bCs/>
              </w:rPr>
              <w:t>Other than for opioid-induced constipation, stimulant laxatives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bisacodyl, senna) should not be prescribed as first-line treatment in constipation for greater than four weeks.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8319D" w14:textId="77777777" w:rsidR="000254FB" w:rsidRPr="000254FB" w:rsidRDefault="000254FB" w:rsidP="000254FB">
            <w:r w:rsidRPr="000254FB">
              <w:rPr>
                <w:i/>
                <w:iCs/>
              </w:rPr>
              <w:t>Stimulant laxatives are not suitable for continuous long-term use, other than for opioid induced constipation.</w:t>
            </w:r>
          </w:p>
        </w:tc>
      </w:tr>
      <w:tr w:rsidR="000254FB" w:rsidRPr="000254FB" w14:paraId="7E4583CF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8FA3D" w14:textId="77777777" w:rsidR="000254FB" w:rsidRPr="000254FB" w:rsidRDefault="000254FB" w:rsidP="000254FB">
            <w:r w:rsidRPr="000254FB">
              <w:rPr>
                <w:b/>
                <w:bCs/>
              </w:rPr>
              <w:t>Proton pump inhibitors (PPIs)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esomeprazole, omeprazole) should not be prescribed at doses above the recommended maintenance dosage for greater than eight weeks.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4BC37" w14:textId="77777777" w:rsidR="000254FB" w:rsidRPr="000254FB" w:rsidRDefault="000254FB" w:rsidP="000254FB">
            <w:r w:rsidRPr="000254FB">
              <w:rPr>
                <w:i/>
                <w:iCs/>
              </w:rPr>
              <w:t xml:space="preserve">A dose reduction or discontinuation is indicated since there is no therapeutic benefit observed with the use of higher doses of PPIs long-term (unless treatment is indicated for rare conditions </w:t>
            </w:r>
            <w:proofErr w:type="gramStart"/>
            <w:r w:rsidRPr="000254FB">
              <w:rPr>
                <w:i/>
                <w:iCs/>
              </w:rPr>
              <w:t>e.g.</w:t>
            </w:r>
            <w:proofErr w:type="gramEnd"/>
            <w:r w:rsidRPr="000254FB">
              <w:rPr>
                <w:i/>
                <w:iCs/>
              </w:rPr>
              <w:t xml:space="preserve"> Zollinger-Ellison syndrome).</w:t>
            </w:r>
          </w:p>
        </w:tc>
      </w:tr>
      <w:tr w:rsidR="000254FB" w:rsidRPr="000254FB" w14:paraId="7E73B8EE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EA9E3" w14:textId="77777777" w:rsidR="000254FB" w:rsidRPr="000254FB" w:rsidRDefault="000254FB" w:rsidP="000254FB">
            <w:r w:rsidRPr="000254FB">
              <w:rPr>
                <w:b/>
                <w:bCs/>
              </w:rPr>
              <w:t>Esomeprazole or omeprazole should not be used in combination with clopidogrel.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855E3" w14:textId="77777777" w:rsidR="000254FB" w:rsidRPr="000254FB" w:rsidRDefault="000254FB" w:rsidP="000254FB">
            <w:r w:rsidRPr="000254FB">
              <w:rPr>
                <w:i/>
                <w:iCs/>
              </w:rPr>
              <w:t>Esomeprazole and omeprazole may reduce the anti-platelet effect of clopidogrel and therefore should not be used in combination with clopidogrel. Other proton pump inhibitors or H</w:t>
            </w:r>
            <w:r w:rsidRPr="000254FB">
              <w:t> </w:t>
            </w:r>
            <w:r w:rsidRPr="000254FB">
              <w:rPr>
                <w:i/>
                <w:iCs/>
                <w:vertAlign w:val="subscript"/>
              </w:rPr>
              <w:t>2</w:t>
            </w:r>
            <w:r w:rsidRPr="000254FB">
              <w:rPr>
                <w:vertAlign w:val="subscript"/>
              </w:rPr>
              <w:t> </w:t>
            </w:r>
            <w:r w:rsidRPr="000254FB">
              <w:rPr>
                <w:i/>
                <w:iCs/>
              </w:rPr>
              <w:t>-receptor antagonists are available which do not have the same potential for interaction.</w:t>
            </w:r>
          </w:p>
        </w:tc>
      </w:tr>
      <w:tr w:rsidR="000254FB" w:rsidRPr="000254FB" w14:paraId="78DB26C2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A9000" w14:textId="77777777" w:rsidR="000254FB" w:rsidRPr="000254FB" w:rsidRDefault="000254FB" w:rsidP="000254FB">
            <w:r w:rsidRPr="000254FB">
              <w:rPr>
                <w:b/>
                <w:bCs/>
              </w:rPr>
              <w:t>Cardiovascular System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32E7C" w14:textId="77777777" w:rsidR="000254FB" w:rsidRPr="000254FB" w:rsidRDefault="000254FB" w:rsidP="000254FB">
            <w:r w:rsidRPr="000254FB">
              <w:t> </w:t>
            </w:r>
          </w:p>
        </w:tc>
      </w:tr>
      <w:tr w:rsidR="000254FB" w:rsidRPr="000254FB" w14:paraId="44D600F9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AC6E8" w14:textId="77777777" w:rsidR="000254FB" w:rsidRPr="000254FB" w:rsidRDefault="000254FB" w:rsidP="000254FB">
            <w:r w:rsidRPr="000254FB">
              <w:rPr>
                <w:b/>
                <w:bCs/>
              </w:rPr>
              <w:t>The use of alpha-adrenoceptor blocking drugs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doxazosin, prazosin) as monotherapy for hypertension, should be avoided.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D7172" w14:textId="77777777" w:rsidR="000254FB" w:rsidRPr="000254FB" w:rsidRDefault="000254FB" w:rsidP="000254FB">
            <w:r w:rsidRPr="000254FB">
              <w:rPr>
                <w:i/>
                <w:iCs/>
              </w:rPr>
              <w:t>Alpha-adrenoceptor blocking drugs increase the risk of orthostatic hypotension.</w:t>
            </w:r>
          </w:p>
        </w:tc>
      </w:tr>
      <w:tr w:rsidR="000254FB" w:rsidRPr="000254FB" w14:paraId="20C8ADA5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03323" w14:textId="77777777" w:rsidR="000254FB" w:rsidRPr="000254FB" w:rsidRDefault="000254FB" w:rsidP="000254FB">
            <w:r w:rsidRPr="000254FB">
              <w:rPr>
                <w:b/>
                <w:bCs/>
              </w:rPr>
              <w:t>Aspirin doses should not exceed 150 mg/day for anti-platelet therapy.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6A804" w14:textId="77777777" w:rsidR="000254FB" w:rsidRPr="000254FB" w:rsidRDefault="000254FB" w:rsidP="000254FB">
            <w:r w:rsidRPr="000254FB">
              <w:rPr>
                <w:i/>
                <w:iCs/>
              </w:rPr>
              <w:t>Doses exceeding 150 mg/day show no evidence for increased efficacy and will increase the risk of bleeding.</w:t>
            </w:r>
          </w:p>
        </w:tc>
      </w:tr>
      <w:tr w:rsidR="000254FB" w:rsidRPr="000254FB" w14:paraId="53D42E37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A6716" w14:textId="77777777" w:rsidR="000254FB" w:rsidRPr="000254FB" w:rsidRDefault="000254FB" w:rsidP="000254FB">
            <w:r w:rsidRPr="000254FB">
              <w:rPr>
                <w:b/>
                <w:bCs/>
              </w:rPr>
              <w:t>Cardio-selective calcium-channel blockers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verapamil, diltiazem) should not be used in combination with beta-adrenoceptor blocking drugs.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19029" w14:textId="77777777" w:rsidR="000254FB" w:rsidRPr="000254FB" w:rsidRDefault="000254FB" w:rsidP="000254FB">
            <w:r w:rsidRPr="000254FB">
              <w:rPr>
                <w:i/>
                <w:iCs/>
              </w:rPr>
              <w:t>Concomitant use increases the risk of atrioventricular block and myocardial depression.</w:t>
            </w:r>
          </w:p>
        </w:tc>
      </w:tr>
      <w:tr w:rsidR="000254FB" w:rsidRPr="000254FB" w14:paraId="77DC2591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DCC1A" w14:textId="77777777" w:rsidR="000254FB" w:rsidRPr="000254FB" w:rsidRDefault="000254FB" w:rsidP="000254FB">
            <w:r w:rsidRPr="000254FB">
              <w:rPr>
                <w:b/>
                <w:bCs/>
              </w:rPr>
              <w:t>The use of oral short-acting dipyridamole should not be used as monotherapy in antiplatelet treatment.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BBCF0" w14:textId="77777777" w:rsidR="000254FB" w:rsidRPr="000254FB" w:rsidRDefault="000254FB" w:rsidP="000254FB">
            <w:r w:rsidRPr="000254FB">
              <w:rPr>
                <w:i/>
                <w:iCs/>
              </w:rPr>
              <w:t>Oral short-acting dipyridamole may cause orthostatic hypotension; more effective alternatives available.</w:t>
            </w:r>
          </w:p>
        </w:tc>
      </w:tr>
      <w:tr w:rsidR="000254FB" w:rsidRPr="000254FB" w14:paraId="5CE7FBDA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A1879" w14:textId="77777777" w:rsidR="000254FB" w:rsidRPr="000254FB" w:rsidRDefault="000254FB" w:rsidP="000254FB">
            <w:r w:rsidRPr="000254FB">
              <w:rPr>
                <w:b/>
                <w:bCs/>
              </w:rPr>
              <w:t>Respiratory System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9A9E7" w14:textId="77777777" w:rsidR="000254FB" w:rsidRPr="000254FB" w:rsidRDefault="000254FB" w:rsidP="000254FB">
            <w:r w:rsidRPr="000254FB">
              <w:t> </w:t>
            </w:r>
          </w:p>
        </w:tc>
      </w:tr>
      <w:tr w:rsidR="000254FB" w:rsidRPr="000254FB" w14:paraId="2FC81F8A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5BA7A" w14:textId="77777777" w:rsidR="000254FB" w:rsidRPr="000254FB" w:rsidRDefault="000254FB" w:rsidP="000254FB">
            <w:r w:rsidRPr="000254FB">
              <w:rPr>
                <w:b/>
                <w:bCs/>
              </w:rPr>
              <w:lastRenderedPageBreak/>
              <w:t>First generation antihistamines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chlorphenamine, promethazine) should not be used as first-line agents for greater than seven days.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FC3D2" w14:textId="77777777" w:rsidR="000254FB" w:rsidRPr="000254FB" w:rsidRDefault="000254FB" w:rsidP="000254FB">
            <w:r w:rsidRPr="000254FB">
              <w:rPr>
                <w:i/>
                <w:iCs/>
              </w:rPr>
              <w:t xml:space="preserve">First generation antihistamines may cause addiction and/or exert anticholinergic properties causing unwanted side-effects </w:t>
            </w:r>
            <w:proofErr w:type="gramStart"/>
            <w:r w:rsidRPr="000254FB">
              <w:rPr>
                <w:i/>
                <w:iCs/>
              </w:rPr>
              <w:t>e.g.</w:t>
            </w:r>
            <w:proofErr w:type="gramEnd"/>
            <w:r w:rsidRPr="000254FB">
              <w:rPr>
                <w:i/>
                <w:iCs/>
              </w:rPr>
              <w:t xml:space="preserve"> constipation, drowsiness, psychomotor impairment.</w:t>
            </w:r>
          </w:p>
        </w:tc>
      </w:tr>
      <w:tr w:rsidR="000254FB" w:rsidRPr="000254FB" w14:paraId="7142B74A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EB937" w14:textId="77777777" w:rsidR="000254FB" w:rsidRPr="000254FB" w:rsidRDefault="000254FB" w:rsidP="000254FB">
            <w:r w:rsidRPr="000254FB">
              <w:rPr>
                <w:b/>
                <w:bCs/>
              </w:rPr>
              <w:t>Theophylline should not be used as monotherapy for asthma or chronic obstructive pulmonary disease.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442C7" w14:textId="77777777" w:rsidR="000254FB" w:rsidRPr="000254FB" w:rsidRDefault="000254FB" w:rsidP="000254FB">
            <w:r w:rsidRPr="000254FB">
              <w:t>Theophylline is associated with an increased risk of arrhythmias.</w:t>
            </w:r>
          </w:p>
        </w:tc>
      </w:tr>
      <w:tr w:rsidR="000254FB" w:rsidRPr="000254FB" w14:paraId="1791A892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E7A69" w14:textId="77777777" w:rsidR="000254FB" w:rsidRPr="000254FB" w:rsidRDefault="000254FB" w:rsidP="000254FB">
            <w:r w:rsidRPr="000254FB">
              <w:rPr>
                <w:b/>
                <w:bCs/>
              </w:rPr>
              <w:t>A concomitant bisphosphonate should be prescribed if oral corticosteroids are used long-term (greater than three months).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AD09B" w14:textId="77777777" w:rsidR="000254FB" w:rsidRPr="000254FB" w:rsidRDefault="000254FB" w:rsidP="000254FB">
            <w:r w:rsidRPr="000254FB">
              <w:rPr>
                <w:i/>
                <w:iCs/>
              </w:rPr>
              <w:t>Long-term use of an oral corticosteroid increases the risk of osteoporosis and subsequent bone fracture.</w:t>
            </w:r>
          </w:p>
        </w:tc>
      </w:tr>
      <w:tr w:rsidR="000254FB" w:rsidRPr="000254FB" w14:paraId="6A2B9C4E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CAFD9" w14:textId="77777777" w:rsidR="000254FB" w:rsidRPr="000254FB" w:rsidRDefault="000254FB" w:rsidP="000254FB">
            <w:r w:rsidRPr="000254FB">
              <w:rPr>
                <w:b/>
                <w:bCs/>
              </w:rPr>
              <w:t>Mucolytic agents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</w:t>
            </w:r>
            <w:proofErr w:type="spellStart"/>
            <w:r w:rsidRPr="000254FB">
              <w:rPr>
                <w:b/>
                <w:bCs/>
              </w:rPr>
              <w:t>carbocisteine</w:t>
            </w:r>
            <w:proofErr w:type="spellEnd"/>
            <w:r w:rsidRPr="000254FB">
              <w:rPr>
                <w:b/>
                <w:bCs/>
              </w:rPr>
              <w:t xml:space="preserve">, </w:t>
            </w:r>
            <w:proofErr w:type="spellStart"/>
            <w:r w:rsidRPr="000254FB">
              <w:rPr>
                <w:b/>
                <w:bCs/>
              </w:rPr>
              <w:t>mecysteine</w:t>
            </w:r>
            <w:proofErr w:type="spellEnd"/>
            <w:r w:rsidRPr="000254FB">
              <w:rPr>
                <w:b/>
                <w:bCs/>
              </w:rPr>
              <w:t>) should not be used routinely in stable chronic obstructive pulmonary disease.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2E441" w14:textId="77777777" w:rsidR="000254FB" w:rsidRPr="000254FB" w:rsidRDefault="000254FB" w:rsidP="000254FB">
            <w:r w:rsidRPr="000254FB">
              <w:rPr>
                <w:i/>
                <w:iCs/>
              </w:rPr>
              <w:t>There is little benefit from the use of mucolytic agents in stable chronic obstructive pulmonary disease.</w:t>
            </w:r>
          </w:p>
        </w:tc>
      </w:tr>
      <w:tr w:rsidR="000254FB" w:rsidRPr="000254FB" w14:paraId="2A37A2F6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83E92" w14:textId="77777777" w:rsidR="000254FB" w:rsidRPr="000254FB" w:rsidRDefault="000254FB" w:rsidP="000254FB">
            <w:r w:rsidRPr="000254FB">
              <w:rPr>
                <w:b/>
                <w:bCs/>
              </w:rPr>
              <w:t>Central Nervous System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51F8A" w14:textId="77777777" w:rsidR="000254FB" w:rsidRPr="000254FB" w:rsidRDefault="000254FB" w:rsidP="000254FB">
            <w:r w:rsidRPr="000254FB">
              <w:t> </w:t>
            </w:r>
          </w:p>
        </w:tc>
      </w:tr>
      <w:tr w:rsidR="000254FB" w:rsidRPr="000254FB" w14:paraId="55E26E2F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38931" w14:textId="77777777" w:rsidR="000254FB" w:rsidRPr="000254FB" w:rsidRDefault="000254FB" w:rsidP="000254FB">
            <w:r w:rsidRPr="000254FB">
              <w:rPr>
                <w:b/>
                <w:bCs/>
              </w:rPr>
              <w:t>Selective serotonin reuptake inhibitors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citalopram, fluoxetine) should not be used in combination with venlafaxine.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2DDC3" w14:textId="77777777" w:rsidR="000254FB" w:rsidRPr="000254FB" w:rsidRDefault="000254FB" w:rsidP="000254FB">
            <w:r w:rsidRPr="000254FB">
              <w:rPr>
                <w:i/>
                <w:iCs/>
              </w:rPr>
              <w:t>Concomitant use may lead to the development of serotonin syndrome.</w:t>
            </w:r>
          </w:p>
        </w:tc>
      </w:tr>
      <w:tr w:rsidR="000254FB" w:rsidRPr="000254FB" w14:paraId="1ED12BDE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9F416" w14:textId="77777777" w:rsidR="000254FB" w:rsidRPr="000254FB" w:rsidRDefault="000254FB" w:rsidP="000254FB">
            <w:r w:rsidRPr="000254FB">
              <w:rPr>
                <w:b/>
                <w:bCs/>
              </w:rPr>
              <w:t>Tricyclic antidepressants (TCAs)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amitriptyline, nortriptyline) should not be used as first-line in treatment of depression.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5E93B" w14:textId="77777777" w:rsidR="000254FB" w:rsidRPr="000254FB" w:rsidRDefault="000254FB" w:rsidP="000254FB">
            <w:r w:rsidRPr="000254FB">
              <w:rPr>
                <w:i/>
                <w:iCs/>
              </w:rPr>
              <w:t xml:space="preserve">TCAs are associated with unwanted peripheral anticholinergic side-effects </w:t>
            </w:r>
            <w:proofErr w:type="gramStart"/>
            <w:r w:rsidRPr="000254FB">
              <w:rPr>
                <w:i/>
                <w:iCs/>
              </w:rPr>
              <w:t>e.g.</w:t>
            </w:r>
            <w:proofErr w:type="gramEnd"/>
            <w:r w:rsidRPr="000254FB">
              <w:rPr>
                <w:i/>
                <w:iCs/>
              </w:rPr>
              <w:t xml:space="preserve"> constipation, dry mouth and central anticholinergic side-effects e.g. drowsiness.</w:t>
            </w:r>
          </w:p>
        </w:tc>
      </w:tr>
      <w:tr w:rsidR="000254FB" w:rsidRPr="000254FB" w14:paraId="14A34834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C964C" w14:textId="77777777" w:rsidR="000254FB" w:rsidRPr="000254FB" w:rsidRDefault="000254FB" w:rsidP="000254FB">
            <w:r w:rsidRPr="000254FB">
              <w:rPr>
                <w:b/>
                <w:bCs/>
              </w:rPr>
              <w:t>Benzodiazepines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nitrazepam, temazepam) should not be used long-term (greater than four weeks).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ED9B9" w14:textId="77777777" w:rsidR="000254FB" w:rsidRPr="000254FB" w:rsidRDefault="000254FB" w:rsidP="000254FB">
            <w:r w:rsidRPr="000254FB">
              <w:rPr>
                <w:i/>
                <w:iCs/>
              </w:rPr>
              <w:t>Long-term use of benzodiazepines increases the risk of dependency. Benzodiazepine related adverse effects include daytime sedation, cognitive impairment, agitation, irritability.</w:t>
            </w:r>
          </w:p>
        </w:tc>
      </w:tr>
      <w:tr w:rsidR="000254FB" w:rsidRPr="000254FB" w14:paraId="4093B9C5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5BCFF" w14:textId="77777777" w:rsidR="000254FB" w:rsidRPr="000254FB" w:rsidRDefault="000254FB" w:rsidP="000254FB">
            <w:r w:rsidRPr="000254FB">
              <w:rPr>
                <w:b/>
                <w:bCs/>
              </w:rPr>
              <w:t>Non-benzodiazepine hypnotics (zolpidem, zaleplon, zopiclone) should not be used long-term (greater than 4 weeks).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05A43" w14:textId="77777777" w:rsidR="000254FB" w:rsidRPr="000254FB" w:rsidRDefault="000254FB" w:rsidP="000254FB">
            <w:r w:rsidRPr="000254FB">
              <w:rPr>
                <w:i/>
                <w:iCs/>
              </w:rPr>
              <w:t xml:space="preserve">Non-benzodiazepine hypnotics have adverse events </w:t>
            </w:r>
            <w:proofErr w:type="gramStart"/>
            <w:r w:rsidRPr="000254FB">
              <w:rPr>
                <w:i/>
                <w:iCs/>
              </w:rPr>
              <w:t>similar to</w:t>
            </w:r>
            <w:proofErr w:type="gramEnd"/>
            <w:r w:rsidRPr="000254FB">
              <w:rPr>
                <w:i/>
                <w:iCs/>
              </w:rPr>
              <w:t xml:space="preserve"> those of benzodiazepines with minimal improvement in sleep latency and duration.</w:t>
            </w:r>
          </w:p>
        </w:tc>
      </w:tr>
      <w:tr w:rsidR="000254FB" w:rsidRPr="000254FB" w14:paraId="5172BEBE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A9719" w14:textId="77777777" w:rsidR="000254FB" w:rsidRPr="000254FB" w:rsidRDefault="000254FB" w:rsidP="000254FB">
            <w:r w:rsidRPr="000254FB">
              <w:rPr>
                <w:b/>
                <w:bCs/>
              </w:rPr>
              <w:lastRenderedPageBreak/>
              <w:t>Carbamazepine should not be used in combination with clarithromycin or erythromycin.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3A6CD" w14:textId="77777777" w:rsidR="000254FB" w:rsidRPr="000254FB" w:rsidRDefault="000254FB" w:rsidP="000254FB">
            <w:r w:rsidRPr="000254FB">
              <w:rPr>
                <w:i/>
                <w:iCs/>
              </w:rPr>
              <w:t xml:space="preserve">Clarithromycin and erythromycin inhibit the metabolism of carbamazepine therefore increasing the risk of adverse effects </w:t>
            </w:r>
            <w:proofErr w:type="gramStart"/>
            <w:r w:rsidRPr="000254FB">
              <w:rPr>
                <w:i/>
                <w:iCs/>
              </w:rPr>
              <w:t>e.g.</w:t>
            </w:r>
            <w:proofErr w:type="gramEnd"/>
            <w:r w:rsidRPr="000254FB">
              <w:rPr>
                <w:i/>
                <w:iCs/>
              </w:rPr>
              <w:t xml:space="preserve"> headache, drowsiness, nausea.</w:t>
            </w:r>
          </w:p>
        </w:tc>
      </w:tr>
      <w:tr w:rsidR="000254FB" w:rsidRPr="000254FB" w14:paraId="090DC254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C68AC" w14:textId="77777777" w:rsidR="000254FB" w:rsidRPr="000254FB" w:rsidRDefault="000254FB" w:rsidP="000254FB">
            <w:r w:rsidRPr="000254FB">
              <w:rPr>
                <w:b/>
                <w:bCs/>
              </w:rPr>
              <w:t>Strong opioids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buprenorphine, diamorphine, fentanyl, morphine, oxycodone) should not be prescribed without the co-prescribing of laxatives.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86CAC" w14:textId="77777777" w:rsidR="000254FB" w:rsidRPr="000254FB" w:rsidRDefault="000254FB" w:rsidP="000254FB">
            <w:r w:rsidRPr="000254FB">
              <w:rPr>
                <w:i/>
                <w:iCs/>
              </w:rPr>
              <w:t>Strong opioids are likely to cause constipation.</w:t>
            </w:r>
          </w:p>
        </w:tc>
      </w:tr>
      <w:tr w:rsidR="000254FB" w:rsidRPr="000254FB" w14:paraId="5B8BAB03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4BAB3" w14:textId="77777777" w:rsidR="000254FB" w:rsidRPr="000254FB" w:rsidRDefault="000254FB" w:rsidP="000254FB">
            <w:r w:rsidRPr="000254FB">
              <w:rPr>
                <w:b/>
                <w:bCs/>
              </w:rPr>
              <w:t>Infections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B48FC" w14:textId="77777777" w:rsidR="000254FB" w:rsidRPr="000254FB" w:rsidRDefault="000254FB" w:rsidP="000254FB">
            <w:r w:rsidRPr="000254FB">
              <w:t> </w:t>
            </w:r>
          </w:p>
        </w:tc>
      </w:tr>
      <w:tr w:rsidR="000254FB" w:rsidRPr="000254FB" w14:paraId="1DC8272A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C662A" w14:textId="77777777" w:rsidR="000254FB" w:rsidRPr="000254FB" w:rsidRDefault="000254FB" w:rsidP="000254FB">
            <w:r w:rsidRPr="000254FB">
              <w:rPr>
                <w:b/>
                <w:bCs/>
              </w:rPr>
              <w:t>Nitrofurantoin should not be prescribed for greater than 7 days for the management of uncomplicated lower urinary-tract infections.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80516" w14:textId="77777777" w:rsidR="000254FB" w:rsidRPr="000254FB" w:rsidRDefault="000254FB" w:rsidP="000254FB">
            <w:r w:rsidRPr="000254FB">
              <w:rPr>
                <w:i/>
                <w:iCs/>
              </w:rPr>
              <w:t>Potential for pulmonary toxicity; safer alternatives available.</w:t>
            </w:r>
          </w:p>
        </w:tc>
      </w:tr>
      <w:tr w:rsidR="000254FB" w:rsidRPr="000254FB" w14:paraId="60C0888B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327A3" w14:textId="77777777" w:rsidR="000254FB" w:rsidRPr="000254FB" w:rsidRDefault="000254FB" w:rsidP="000254FB">
            <w:r w:rsidRPr="000254FB">
              <w:rPr>
                <w:b/>
                <w:bCs/>
              </w:rPr>
              <w:t>Endocrine System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46698" w14:textId="77777777" w:rsidR="000254FB" w:rsidRPr="000254FB" w:rsidRDefault="000254FB" w:rsidP="000254FB">
            <w:r w:rsidRPr="000254FB">
              <w:t> </w:t>
            </w:r>
          </w:p>
        </w:tc>
      </w:tr>
      <w:tr w:rsidR="000254FB" w:rsidRPr="000254FB" w14:paraId="244ACEF8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32699" w14:textId="77777777" w:rsidR="000254FB" w:rsidRPr="000254FB" w:rsidRDefault="000254FB" w:rsidP="000254FB">
            <w:r w:rsidRPr="000254FB">
              <w:rPr>
                <w:b/>
                <w:bCs/>
              </w:rPr>
              <w:t>In relation to the management of diabetes, the use of oral long-acting sulfonylureas (</w:t>
            </w:r>
            <w:proofErr w:type="spellStart"/>
            <w:r w:rsidRPr="000254FB">
              <w:rPr>
                <w:b/>
                <w:bCs/>
              </w:rPr>
              <w:t>glibenclamide</w:t>
            </w:r>
            <w:proofErr w:type="spellEnd"/>
            <w:r w:rsidRPr="000254FB">
              <w:rPr>
                <w:b/>
                <w:bCs/>
              </w:rPr>
              <w:t>) should be avoided.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C8DDB" w14:textId="77777777" w:rsidR="000254FB" w:rsidRPr="000254FB" w:rsidRDefault="000254FB" w:rsidP="000254FB">
            <w:r w:rsidRPr="000254FB">
              <w:rPr>
                <w:i/>
                <w:iCs/>
              </w:rPr>
              <w:t>Oral long-acting sulfonylureas have a prolonged half-life and can cause prolonged hypoglycaemia or syndrome of inappropriate antidiuretic hormone (ADH) secretion.</w:t>
            </w:r>
          </w:p>
        </w:tc>
      </w:tr>
      <w:tr w:rsidR="000254FB" w:rsidRPr="000254FB" w14:paraId="66E3C799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2D3B6" w14:textId="77777777" w:rsidR="000254FB" w:rsidRPr="000254FB" w:rsidRDefault="000254FB" w:rsidP="000254FB">
            <w:r w:rsidRPr="000254FB">
              <w:rPr>
                <w:b/>
                <w:bCs/>
              </w:rPr>
              <w:t>Musculoskeletal System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0E23B" w14:textId="77777777" w:rsidR="000254FB" w:rsidRPr="000254FB" w:rsidRDefault="000254FB" w:rsidP="000254FB">
            <w:r w:rsidRPr="000254FB">
              <w:t> </w:t>
            </w:r>
          </w:p>
        </w:tc>
      </w:tr>
      <w:tr w:rsidR="000254FB" w:rsidRPr="000254FB" w14:paraId="00858A09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D3470" w14:textId="77777777" w:rsidR="000254FB" w:rsidRPr="000254FB" w:rsidRDefault="000254FB" w:rsidP="000254FB">
            <w:r w:rsidRPr="000254FB">
              <w:rPr>
                <w:b/>
                <w:bCs/>
              </w:rPr>
              <w:t>Non-steroidal anti-inflammatory drugs (NSAIDs) (</w:t>
            </w:r>
            <w:proofErr w:type="gramStart"/>
            <w:r w:rsidRPr="000254FB">
              <w:rPr>
                <w:b/>
                <w:bCs/>
              </w:rPr>
              <w:t>e.g.</w:t>
            </w:r>
            <w:proofErr w:type="gramEnd"/>
            <w:r w:rsidRPr="000254FB">
              <w:rPr>
                <w:b/>
                <w:bCs/>
              </w:rPr>
              <w:t xml:space="preserve"> celecoxib, diclofenac, naproxen) should not be used long-term (greater than three months).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19031" w14:textId="77777777" w:rsidR="000254FB" w:rsidRPr="000254FB" w:rsidRDefault="000254FB" w:rsidP="000254FB">
            <w:r w:rsidRPr="000254FB">
              <w:rPr>
                <w:i/>
                <w:iCs/>
              </w:rPr>
              <w:t>Long-term NSAID treatment should be reviewed periodically due to increased risk of thrombotic effects, and the lowest effective dose should be prescribed for the shortest period.</w:t>
            </w:r>
          </w:p>
        </w:tc>
      </w:tr>
      <w:tr w:rsidR="000254FB" w:rsidRPr="000254FB" w14:paraId="21A00604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D33C5" w14:textId="77777777" w:rsidR="000254FB" w:rsidRPr="000254FB" w:rsidRDefault="000254FB" w:rsidP="000254FB">
            <w:r w:rsidRPr="000254FB">
              <w:rPr>
                <w:b/>
                <w:bCs/>
              </w:rPr>
              <w:t>Unless adequate gastro-intestinal protection is provided with either a proton pump inhibitor or H</w:t>
            </w:r>
            <w:r w:rsidRPr="000254FB">
              <w:t> </w:t>
            </w:r>
            <w:r w:rsidRPr="000254FB">
              <w:rPr>
                <w:b/>
                <w:bCs/>
                <w:vertAlign w:val="subscript"/>
              </w:rPr>
              <w:t>2</w:t>
            </w:r>
            <w:r w:rsidRPr="000254FB">
              <w:rPr>
                <w:vertAlign w:val="subscript"/>
              </w:rPr>
              <w:t> </w:t>
            </w:r>
            <w:r w:rsidRPr="000254FB">
              <w:rPr>
                <w:b/>
                <w:bCs/>
              </w:rPr>
              <w:t>-receptor antagonist, non-steroidal anti-inflammatory drugs should not be used in combination with:</w:t>
            </w:r>
          </w:p>
        </w:tc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7BE64" w14:textId="77777777" w:rsidR="000254FB" w:rsidRPr="000254FB" w:rsidRDefault="000254FB" w:rsidP="000254FB">
            <w:r w:rsidRPr="000254FB">
              <w:rPr>
                <w:i/>
                <w:iCs/>
              </w:rPr>
              <w:t>Concomitant use increases the risk of gastro-intestinal bleeding.</w:t>
            </w:r>
          </w:p>
        </w:tc>
      </w:tr>
      <w:tr w:rsidR="000254FB" w:rsidRPr="000254FB" w14:paraId="06DF4EA2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3971B" w14:textId="77777777" w:rsidR="000254FB" w:rsidRPr="000254FB" w:rsidRDefault="000254FB" w:rsidP="000254FB">
            <w:r w:rsidRPr="000254FB">
              <w:lastRenderedPageBreak/>
              <w:t>  </w:t>
            </w:r>
            <w:r w:rsidRPr="000254FB">
              <w:rPr>
                <w:b/>
                <w:bCs/>
              </w:rPr>
              <w:t>a. Low-dose aspirin.</w:t>
            </w: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vAlign w:val="center"/>
            <w:hideMark/>
          </w:tcPr>
          <w:p w14:paraId="71989D81" w14:textId="77777777" w:rsidR="000254FB" w:rsidRPr="000254FB" w:rsidRDefault="000254FB" w:rsidP="000254FB"/>
        </w:tc>
      </w:tr>
      <w:tr w:rsidR="000254FB" w:rsidRPr="000254FB" w14:paraId="14E83A0E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85E90" w14:textId="77777777" w:rsidR="000254FB" w:rsidRPr="000254FB" w:rsidRDefault="000254FB" w:rsidP="000254FB">
            <w:r w:rsidRPr="000254FB">
              <w:t>  </w:t>
            </w:r>
            <w:r w:rsidRPr="000254FB">
              <w:rPr>
                <w:b/>
                <w:bCs/>
              </w:rPr>
              <w:t>b. Selective serotonin re-uptake inhibitors.</w:t>
            </w: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vAlign w:val="center"/>
            <w:hideMark/>
          </w:tcPr>
          <w:p w14:paraId="6AB09F9D" w14:textId="77777777" w:rsidR="000254FB" w:rsidRPr="000254FB" w:rsidRDefault="000254FB" w:rsidP="000254FB"/>
        </w:tc>
      </w:tr>
      <w:tr w:rsidR="000254FB" w:rsidRPr="000254FB" w14:paraId="7C99AAFE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7F3C5" w14:textId="77777777" w:rsidR="000254FB" w:rsidRPr="000254FB" w:rsidRDefault="000254FB" w:rsidP="000254FB">
            <w:r w:rsidRPr="000254FB">
              <w:rPr>
                <w:b/>
                <w:bCs/>
              </w:rPr>
              <w:t>Duplication of drug classes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F8763" w14:textId="77777777" w:rsidR="000254FB" w:rsidRPr="000254FB" w:rsidRDefault="000254FB" w:rsidP="000254FB">
            <w:r w:rsidRPr="000254FB">
              <w:t> </w:t>
            </w:r>
          </w:p>
        </w:tc>
      </w:tr>
      <w:tr w:rsidR="000254FB" w:rsidRPr="000254FB" w14:paraId="470596B6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1BDCC" w14:textId="77777777" w:rsidR="000254FB" w:rsidRPr="000254FB" w:rsidRDefault="000254FB" w:rsidP="000254FB">
            <w:r w:rsidRPr="000254FB">
              <w:rPr>
                <w:b/>
                <w:bCs/>
              </w:rPr>
              <w:t>The use of two or more drugs from the same pharmacological class should be avoided, unless used for additive effects in line with current clinical guidelines.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B07C3" w14:textId="77777777" w:rsidR="000254FB" w:rsidRPr="000254FB" w:rsidRDefault="000254FB" w:rsidP="000254FB">
            <w:r w:rsidRPr="000254FB">
              <w:rPr>
                <w:i/>
                <w:iCs/>
              </w:rPr>
              <w:t>Possible unwanted duplication of effect, increasing risk of side effects and adverse events.</w:t>
            </w:r>
          </w:p>
        </w:tc>
      </w:tr>
      <w:tr w:rsidR="000254FB" w:rsidRPr="000254FB" w14:paraId="082A1D25" w14:textId="77777777" w:rsidTr="000254F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399E9" w14:textId="77777777" w:rsidR="000254FB" w:rsidRPr="000254FB" w:rsidRDefault="000254FB" w:rsidP="000254FB">
            <w:r w:rsidRPr="000254FB">
              <w:rPr>
                <w:b/>
                <w:bCs/>
              </w:rPr>
              <w:t>For example: Avoid duplication of opioid analgesics, non-steroidal anti-inflammatory drugs, benzodiazepines.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458A9" w14:textId="77777777" w:rsidR="000254FB" w:rsidRPr="000254FB" w:rsidRDefault="000254FB" w:rsidP="000254FB">
            <w:r w:rsidRPr="000254FB">
              <w:rPr>
                <w:i/>
                <w:iCs/>
              </w:rPr>
              <w:t xml:space="preserve">An example of an exception </w:t>
            </w:r>
            <w:proofErr w:type="gramStart"/>
            <w:r w:rsidRPr="000254FB">
              <w:rPr>
                <w:i/>
                <w:iCs/>
              </w:rPr>
              <w:t>includes:</w:t>
            </w:r>
            <w:proofErr w:type="gramEnd"/>
            <w:r w:rsidRPr="000254FB">
              <w:rPr>
                <w:i/>
                <w:iCs/>
              </w:rPr>
              <w:t xml:space="preserve"> duplicate beta</w:t>
            </w:r>
            <w:r w:rsidRPr="000254FB">
              <w:t> </w:t>
            </w:r>
            <w:r w:rsidRPr="000254FB">
              <w:rPr>
                <w:i/>
                <w:iCs/>
                <w:vertAlign w:val="subscript"/>
              </w:rPr>
              <w:t>2</w:t>
            </w:r>
            <w:r w:rsidRPr="000254FB">
              <w:rPr>
                <w:vertAlign w:val="subscript"/>
              </w:rPr>
              <w:t> </w:t>
            </w:r>
            <w:r w:rsidRPr="000254FB">
              <w:rPr>
                <w:i/>
                <w:iCs/>
              </w:rPr>
              <w:t>agonists (provided one is short-acting and one is long-acting) for the management of asthma or chronic obstructive pulmonary disease.</w:t>
            </w:r>
          </w:p>
        </w:tc>
      </w:tr>
    </w:tbl>
    <w:p w14:paraId="3A18209D" w14:textId="77777777" w:rsidR="000254FB" w:rsidRPr="000254FB" w:rsidRDefault="000254FB" w:rsidP="000254FB">
      <w:pPr>
        <w:rPr>
          <w:b/>
          <w:bCs/>
        </w:rPr>
      </w:pPr>
      <w:r w:rsidRPr="000254FB">
        <w:rPr>
          <w:b/>
          <w:bCs/>
        </w:rPr>
        <w:t>Table 4 The PROMPT criteria</w:t>
      </w:r>
    </w:p>
    <w:p w14:paraId="4AA7FF00" w14:textId="77777777" w:rsidR="000254FB" w:rsidRPr="000254FB" w:rsidRDefault="000254FB" w:rsidP="000254FB">
      <w:r w:rsidRPr="000254FB">
        <w:t>From: </w:t>
      </w:r>
      <w:hyperlink r:id="rId5" w:history="1">
        <w:r w:rsidRPr="000254FB">
          <w:rPr>
            <w:rStyle w:val="Hyperlink"/>
          </w:rPr>
          <w:t>The development of the PROMPT (</w:t>
        </w:r>
        <w:proofErr w:type="spellStart"/>
        <w:r w:rsidRPr="000254FB">
          <w:rPr>
            <w:rStyle w:val="Hyperlink"/>
          </w:rPr>
          <w:t>PRescribing</w:t>
        </w:r>
        <w:proofErr w:type="spellEnd"/>
        <w:r w:rsidRPr="000254FB">
          <w:rPr>
            <w:rStyle w:val="Hyperlink"/>
          </w:rPr>
          <w:t xml:space="preserve"> Optimally in Middle-aged People’s Treatments) criteria</w:t>
        </w:r>
      </w:hyperlink>
    </w:p>
    <w:p w14:paraId="7E7FDCDD" w14:textId="77777777" w:rsidR="007B073F" w:rsidRDefault="007B073F" w:rsidP="007B073F"/>
    <w:sectPr w:rsidR="007B073F" w:rsidSect="000254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2595"/>
    <w:multiLevelType w:val="hybridMultilevel"/>
    <w:tmpl w:val="B99880EC"/>
    <w:lvl w:ilvl="0" w:tplc="8B4A0D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5F3E"/>
    <w:multiLevelType w:val="hybridMultilevel"/>
    <w:tmpl w:val="4630EDE8"/>
    <w:lvl w:ilvl="0" w:tplc="B88C53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A293D"/>
    <w:multiLevelType w:val="hybridMultilevel"/>
    <w:tmpl w:val="C4F6B9A2"/>
    <w:lvl w:ilvl="0" w:tplc="E294F3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594832">
    <w:abstractNumId w:val="2"/>
  </w:num>
  <w:num w:numId="2" w16cid:durableId="666178900">
    <w:abstractNumId w:val="1"/>
  </w:num>
  <w:num w:numId="3" w16cid:durableId="101164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59"/>
    <w:rsid w:val="000254FB"/>
    <w:rsid w:val="00313D59"/>
    <w:rsid w:val="007B073F"/>
    <w:rsid w:val="00882E5F"/>
    <w:rsid w:val="00B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9FD9"/>
  <w15:chartTrackingRefBased/>
  <w15:docId w15:val="{BF60F6DD-DA89-451C-9E1C-CB87571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4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457">
              <w:marLeft w:val="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4701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mchealthservres.biomedcentral.com/articles/10.1186/s12913-014-0484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Thompson</dc:creator>
  <cp:keywords/>
  <dc:description/>
  <cp:lastModifiedBy>Mike Thompson</cp:lastModifiedBy>
  <cp:revision>1</cp:revision>
  <dcterms:created xsi:type="dcterms:W3CDTF">2023-02-08T20:16:00Z</dcterms:created>
  <dcterms:modified xsi:type="dcterms:W3CDTF">2023-02-11T18:01:00Z</dcterms:modified>
</cp:coreProperties>
</file>