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2BC8" w14:textId="686F2ADD" w:rsidR="001218B6" w:rsidRDefault="00666A3D">
      <w:r w:rsidRPr="00666A3D">
        <w:t xml:space="preserve">OSTEOPOROSIS </w:t>
      </w:r>
      <w:r w:rsidR="00CE1940">
        <w:t>is</w:t>
      </w:r>
      <w:r w:rsidRPr="00666A3D">
        <w:t xml:space="preserve"> low bone mass and structural deterioration leading to bone fragility and increased </w:t>
      </w:r>
      <w:r w:rsidRPr="00666A3D">
        <w:rPr>
          <w:b/>
          <w:bCs/>
          <w:u w:val="single"/>
        </w:rPr>
        <w:t>risk</w:t>
      </w:r>
      <w:r w:rsidRPr="00666A3D">
        <w:t xml:space="preserve"> of fragility fracture.</w:t>
      </w:r>
    </w:p>
    <w:p w14:paraId="5ED0772E" w14:textId="2BA2B62D" w:rsidR="00666A3D" w:rsidRDefault="00954CC3">
      <w:r>
        <w:t xml:space="preserve">But, there are other things than BMD which contribute to fracture risk </w:t>
      </w:r>
      <w:proofErr w:type="gramStart"/>
      <w:r>
        <w:t>( falling</w:t>
      </w:r>
      <w:proofErr w:type="gramEnd"/>
      <w:r>
        <w:t xml:space="preserve"> etc).</w:t>
      </w:r>
    </w:p>
    <w:p w14:paraId="3626608E" w14:textId="77777777" w:rsidR="00CE1940" w:rsidRDefault="00CE1940">
      <w:pPr>
        <w:rPr>
          <w:u w:val="single"/>
        </w:rPr>
      </w:pPr>
    </w:p>
    <w:p w14:paraId="0568C11A" w14:textId="0BCC42AB" w:rsidR="00666A3D" w:rsidRPr="00666A3D" w:rsidRDefault="00666A3D">
      <w:pPr>
        <w:rPr>
          <w:u w:val="single"/>
        </w:rPr>
      </w:pPr>
      <w:r w:rsidRPr="00666A3D">
        <w:rPr>
          <w:u w:val="single"/>
        </w:rPr>
        <w:t>Role of GP.</w:t>
      </w:r>
    </w:p>
    <w:p w14:paraId="7A2AFFEC" w14:textId="5D9940E8" w:rsidR="00666A3D" w:rsidRDefault="00666A3D" w:rsidP="00666A3D">
      <w:pPr>
        <w:pStyle w:val="ListParagraph"/>
        <w:numPr>
          <w:ilvl w:val="0"/>
          <w:numId w:val="1"/>
        </w:numPr>
      </w:pPr>
      <w:r>
        <w:t>Recognise risk</w:t>
      </w:r>
      <w:r w:rsidR="00923EC8">
        <w:t xml:space="preserve"> – of reduced BMD and of falls.</w:t>
      </w:r>
    </w:p>
    <w:p w14:paraId="3FA8393F" w14:textId="0BFB61E0" w:rsidR="00666A3D" w:rsidRDefault="00666A3D" w:rsidP="00666A3D">
      <w:pPr>
        <w:pStyle w:val="ListParagraph"/>
        <w:numPr>
          <w:ilvl w:val="0"/>
          <w:numId w:val="1"/>
        </w:numPr>
      </w:pPr>
      <w:r>
        <w:t>Inform.</w:t>
      </w:r>
    </w:p>
    <w:p w14:paraId="0ECA9A33" w14:textId="45550475" w:rsidR="00923EC8" w:rsidRDefault="00923EC8" w:rsidP="00666A3D">
      <w:pPr>
        <w:pStyle w:val="ListParagraph"/>
        <w:numPr>
          <w:ilvl w:val="0"/>
          <w:numId w:val="1"/>
        </w:numPr>
      </w:pPr>
      <w:r>
        <w:t>Investigate.</w:t>
      </w:r>
    </w:p>
    <w:p w14:paraId="39D939CC" w14:textId="4EA01011" w:rsidR="00666A3D" w:rsidRDefault="00666A3D" w:rsidP="00666A3D">
      <w:pPr>
        <w:pStyle w:val="ListParagraph"/>
        <w:numPr>
          <w:ilvl w:val="0"/>
          <w:numId w:val="1"/>
        </w:numPr>
      </w:pPr>
      <w:r>
        <w:t>Treat</w:t>
      </w:r>
      <w:r w:rsidR="00923EC8">
        <w:t xml:space="preserve"> / prevent.</w:t>
      </w:r>
    </w:p>
    <w:p w14:paraId="7229E26D" w14:textId="7A3ED048" w:rsidR="00666A3D" w:rsidRDefault="00666A3D" w:rsidP="00666A3D">
      <w:pPr>
        <w:pStyle w:val="ListParagraph"/>
        <w:numPr>
          <w:ilvl w:val="0"/>
          <w:numId w:val="1"/>
        </w:numPr>
      </w:pPr>
      <w:r>
        <w:t>Refer.</w:t>
      </w:r>
    </w:p>
    <w:p w14:paraId="03A543BB" w14:textId="5405F908" w:rsidR="00666A3D" w:rsidRDefault="00666A3D" w:rsidP="00666A3D">
      <w:pPr>
        <w:pStyle w:val="ListParagraph"/>
        <w:numPr>
          <w:ilvl w:val="0"/>
          <w:numId w:val="1"/>
        </w:numPr>
      </w:pPr>
      <w:r>
        <w:t>Review.</w:t>
      </w:r>
    </w:p>
    <w:p w14:paraId="6EF1D318" w14:textId="77777777" w:rsidR="00666A3D" w:rsidRDefault="00666A3D" w:rsidP="00666A3D"/>
    <w:p w14:paraId="26ABC7EB" w14:textId="61577748" w:rsidR="00923EC8" w:rsidRDefault="00923EC8" w:rsidP="00666A3D">
      <w:r>
        <w:t>Remember physiology….</w:t>
      </w:r>
    </w:p>
    <w:p w14:paraId="76A2E458" w14:textId="7B173D4F" w:rsidR="00666A3D" w:rsidRDefault="00666A3D" w:rsidP="00666A3D">
      <w:r>
        <w:t>Peak bone 25-30y.</w:t>
      </w:r>
    </w:p>
    <w:p w14:paraId="7169A7DF" w14:textId="3B3F9AC5" w:rsidR="00666A3D" w:rsidRDefault="00666A3D" w:rsidP="00666A3D">
      <w:r>
        <w:t>Lamellar bone / cortical bone.</w:t>
      </w:r>
    </w:p>
    <w:p w14:paraId="4B3C749A" w14:textId="3006E37B" w:rsidR="00666A3D" w:rsidRDefault="00666A3D" w:rsidP="00666A3D">
      <w:r>
        <w:t>Osteoclasts / osteoblasts.</w:t>
      </w:r>
    </w:p>
    <w:p w14:paraId="2187E81D" w14:textId="46A730EE" w:rsidR="00666A3D" w:rsidRDefault="00666A3D" w:rsidP="00666A3D">
      <w:r>
        <w:t>Vit D / Ca++.</w:t>
      </w:r>
    </w:p>
    <w:p w14:paraId="682192D7" w14:textId="71844282" w:rsidR="00666A3D" w:rsidRDefault="00666A3D" w:rsidP="00666A3D">
      <w:r>
        <w:t>PTH / Calcitonin.</w:t>
      </w:r>
    </w:p>
    <w:p w14:paraId="194FACB1" w14:textId="78337EC1" w:rsidR="00954CC3" w:rsidRDefault="00954CC3" w:rsidP="00666A3D">
      <w:r>
        <w:t>Primary / secondary</w:t>
      </w:r>
      <w:r w:rsidR="00923EC8">
        <w:t xml:space="preserve"> osteoporosis.</w:t>
      </w:r>
    </w:p>
    <w:p w14:paraId="400DA0FC" w14:textId="77777777" w:rsidR="00666A3D" w:rsidRDefault="00666A3D"/>
    <w:p w14:paraId="3AB0645A" w14:textId="458A09CC" w:rsidR="00666A3D" w:rsidRDefault="00666A3D">
      <w:r>
        <w:rPr>
          <w:noProof/>
        </w:rPr>
        <w:drawing>
          <wp:inline distT="0" distB="0" distL="0" distR="0" wp14:anchorId="5BA6AD93" wp14:editId="28E53A22">
            <wp:extent cx="2625205" cy="1644015"/>
            <wp:effectExtent l="0" t="0" r="3810" b="0"/>
            <wp:docPr id="650098214" name="Picture 1" descr="A diagram of a b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98214" name="Picture 1" descr="A diagram of a b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563" cy="164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0C5D8" w14:textId="77777777" w:rsidR="00954CC3" w:rsidRDefault="00954CC3"/>
    <w:p w14:paraId="0A6C50F5" w14:textId="77777777" w:rsidR="00954CC3" w:rsidRDefault="00954CC3"/>
    <w:p w14:paraId="2634A604" w14:textId="6FC2349E" w:rsidR="00954CC3" w:rsidRPr="00CE1940" w:rsidRDefault="00954CC3">
      <w:pPr>
        <w:rPr>
          <w:sz w:val="24"/>
          <w:szCs w:val="24"/>
          <w:u w:val="single"/>
        </w:rPr>
      </w:pPr>
      <w:r w:rsidRPr="00CE1940">
        <w:rPr>
          <w:sz w:val="24"/>
          <w:szCs w:val="24"/>
          <w:u w:val="single"/>
        </w:rPr>
        <w:t xml:space="preserve">How to assess </w:t>
      </w:r>
    </w:p>
    <w:p w14:paraId="52B08D63" w14:textId="72605721" w:rsidR="00954CC3" w:rsidRPr="00CE1940" w:rsidRDefault="00954CC3" w:rsidP="00954C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E1940">
        <w:rPr>
          <w:sz w:val="24"/>
          <w:szCs w:val="24"/>
        </w:rPr>
        <w:t>Clinical judgement.</w:t>
      </w:r>
    </w:p>
    <w:p w14:paraId="6F285C35" w14:textId="2CA2D4E8" w:rsidR="00954CC3" w:rsidRPr="00CE1940" w:rsidRDefault="00954CC3" w:rsidP="00954C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E1940">
        <w:rPr>
          <w:sz w:val="24"/>
          <w:szCs w:val="24"/>
        </w:rPr>
        <w:t>FRAX.</w:t>
      </w:r>
    </w:p>
    <w:p w14:paraId="7ADDD48D" w14:textId="7446513D" w:rsidR="00954CC3" w:rsidRPr="00CE1940" w:rsidRDefault="00954CC3" w:rsidP="00954C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E1940">
        <w:rPr>
          <w:sz w:val="24"/>
          <w:szCs w:val="24"/>
        </w:rPr>
        <w:t>DXA/ LVA</w:t>
      </w:r>
    </w:p>
    <w:p w14:paraId="76FCFDC2" w14:textId="77777777" w:rsidR="00954CC3" w:rsidRDefault="00954CC3"/>
    <w:p w14:paraId="75070D4F" w14:textId="77777777" w:rsidR="00E11948" w:rsidRPr="00CE1940" w:rsidRDefault="00E11948" w:rsidP="00E11948">
      <w:pPr>
        <w:rPr>
          <w:b/>
          <w:bCs/>
          <w:sz w:val="24"/>
          <w:szCs w:val="24"/>
        </w:rPr>
      </w:pPr>
      <w:r w:rsidRPr="00CE1940">
        <w:rPr>
          <w:b/>
          <w:bCs/>
          <w:sz w:val="24"/>
          <w:szCs w:val="24"/>
        </w:rPr>
        <w:lastRenderedPageBreak/>
        <w:t>1.</w:t>
      </w:r>
      <w:r w:rsidR="00441DC1" w:rsidRPr="00CE1940">
        <w:rPr>
          <w:b/>
          <w:bCs/>
          <w:sz w:val="24"/>
          <w:szCs w:val="24"/>
        </w:rPr>
        <w:t>Clinical judgement</w:t>
      </w:r>
      <w:r w:rsidRPr="00CE1940">
        <w:rPr>
          <w:b/>
          <w:bCs/>
          <w:sz w:val="24"/>
          <w:szCs w:val="24"/>
        </w:rPr>
        <w:t xml:space="preserve"> </w:t>
      </w:r>
    </w:p>
    <w:p w14:paraId="035A74FB" w14:textId="0AEDB50B" w:rsidR="00954CC3" w:rsidRDefault="00E11948" w:rsidP="00E11948">
      <w:r>
        <w:t>- the following are not included in FRAX but should make you consider BMD assessment.</w:t>
      </w:r>
    </w:p>
    <w:p w14:paraId="16ECB4E7" w14:textId="3E7844F5" w:rsidR="00923EC8" w:rsidRDefault="00923EC8" w:rsidP="00E11948">
      <w:pPr>
        <w:pStyle w:val="ListParagraph"/>
        <w:numPr>
          <w:ilvl w:val="0"/>
          <w:numId w:val="5"/>
        </w:numPr>
      </w:pPr>
      <w:r>
        <w:t>Postmenopausal.</w:t>
      </w:r>
    </w:p>
    <w:p w14:paraId="656053DA" w14:textId="6A92A5BA" w:rsidR="00E11948" w:rsidRDefault="00E11948" w:rsidP="00E11948">
      <w:pPr>
        <w:pStyle w:val="ListParagraph"/>
        <w:numPr>
          <w:ilvl w:val="0"/>
          <w:numId w:val="5"/>
        </w:numPr>
      </w:pPr>
      <w:r w:rsidRPr="00E11948">
        <w:t>Thoracic kyphosis</w:t>
      </w:r>
    </w:p>
    <w:p w14:paraId="2ECA3D64" w14:textId="77777777" w:rsidR="00E11948" w:rsidRDefault="00E11948" w:rsidP="00E11948">
      <w:pPr>
        <w:pStyle w:val="ListParagraph"/>
        <w:numPr>
          <w:ilvl w:val="0"/>
          <w:numId w:val="5"/>
        </w:numPr>
      </w:pPr>
      <w:r w:rsidRPr="00E11948">
        <w:t>Height loss (&gt; 4cm)</w:t>
      </w:r>
    </w:p>
    <w:p w14:paraId="0BAC9452" w14:textId="5B5CA506" w:rsidR="00E11948" w:rsidRDefault="00E11948" w:rsidP="00E11948">
      <w:pPr>
        <w:pStyle w:val="ListParagraph"/>
        <w:numPr>
          <w:ilvl w:val="0"/>
          <w:numId w:val="5"/>
        </w:numPr>
      </w:pPr>
      <w:r w:rsidRPr="00E11948">
        <w:t xml:space="preserve">Falls and frailty </w:t>
      </w:r>
      <w:r>
        <w:t>!!!</w:t>
      </w:r>
    </w:p>
    <w:p w14:paraId="5ACE65BC" w14:textId="07CBD57B" w:rsidR="00E11948" w:rsidRDefault="00E11948" w:rsidP="00E11948">
      <w:pPr>
        <w:pStyle w:val="ListParagraph"/>
        <w:numPr>
          <w:ilvl w:val="0"/>
          <w:numId w:val="5"/>
        </w:numPr>
      </w:pPr>
      <w:r w:rsidRPr="00E11948">
        <w:t xml:space="preserve">Inflammatory disease: </w:t>
      </w:r>
      <w:r>
        <w:t xml:space="preserve">SLE, RA, CTD, Ank </w:t>
      </w:r>
      <w:proofErr w:type="spellStart"/>
      <w:r>
        <w:t>Spond</w:t>
      </w:r>
      <w:proofErr w:type="spellEnd"/>
      <w:r>
        <w:t xml:space="preserve"> etc</w:t>
      </w:r>
    </w:p>
    <w:p w14:paraId="14F24C99" w14:textId="43C9BBE2" w:rsidR="00E11948" w:rsidRDefault="00E11948" w:rsidP="00E11948">
      <w:pPr>
        <w:pStyle w:val="ListParagraph"/>
        <w:numPr>
          <w:ilvl w:val="0"/>
          <w:numId w:val="5"/>
        </w:numPr>
      </w:pPr>
      <w:r w:rsidRPr="00E11948">
        <w:t xml:space="preserve">Endocrine disease: </w:t>
      </w:r>
      <w:r>
        <w:t xml:space="preserve">T1DM </w:t>
      </w:r>
      <w:r w:rsidRPr="00E11948">
        <w:t>,</w:t>
      </w:r>
      <w:r>
        <w:t>T2DM,</w:t>
      </w:r>
      <w:r w:rsidRPr="00E11948">
        <w:t xml:space="preserve"> hyperparathyroidism, hyperthyroidism, hypogonadism, Cushing’s disease/syndrome</w:t>
      </w:r>
    </w:p>
    <w:p w14:paraId="12F80114" w14:textId="1989727F" w:rsidR="00E11948" w:rsidRDefault="00E11948" w:rsidP="00E11948">
      <w:pPr>
        <w:pStyle w:val="ListParagraph"/>
        <w:numPr>
          <w:ilvl w:val="0"/>
          <w:numId w:val="5"/>
        </w:numPr>
      </w:pPr>
      <w:r w:rsidRPr="00E11948">
        <w:t>Haematological disorders/malignancy</w:t>
      </w:r>
      <w:r>
        <w:t xml:space="preserve">- </w:t>
      </w:r>
      <w:r w:rsidRPr="00E11948">
        <w:t xml:space="preserve"> multiple myeloma, thalassaemia </w:t>
      </w:r>
    </w:p>
    <w:p w14:paraId="49514065" w14:textId="790FBE72" w:rsidR="00E11948" w:rsidRDefault="00E11948" w:rsidP="00E11948">
      <w:pPr>
        <w:pStyle w:val="ListParagraph"/>
        <w:numPr>
          <w:ilvl w:val="0"/>
          <w:numId w:val="5"/>
        </w:numPr>
      </w:pPr>
      <w:r w:rsidRPr="00E11948">
        <w:t xml:space="preserve">Muscle disease: myositis, myopathies and dystrophies, sarcopenia </w:t>
      </w:r>
    </w:p>
    <w:p w14:paraId="22A6773B" w14:textId="4586B533" w:rsidR="00E11948" w:rsidRDefault="00E11948" w:rsidP="00E11948">
      <w:pPr>
        <w:pStyle w:val="ListParagraph"/>
        <w:numPr>
          <w:ilvl w:val="0"/>
          <w:numId w:val="5"/>
        </w:numPr>
      </w:pPr>
      <w:r w:rsidRPr="00E11948">
        <w:t>Lung disease</w:t>
      </w:r>
      <w:r>
        <w:t xml:space="preserve"> :</w:t>
      </w:r>
      <w:r w:rsidRPr="00E11948">
        <w:t>asthma, cystic fibrosis, chronic obstructive pulmonary disease</w:t>
      </w:r>
    </w:p>
    <w:p w14:paraId="0F8B0B9A" w14:textId="77777777" w:rsidR="00E11948" w:rsidRDefault="00E11948" w:rsidP="00E11948">
      <w:pPr>
        <w:pStyle w:val="ListParagraph"/>
        <w:numPr>
          <w:ilvl w:val="0"/>
          <w:numId w:val="5"/>
        </w:numPr>
      </w:pPr>
      <w:r w:rsidRPr="00E11948">
        <w:t xml:space="preserve">HIV </w:t>
      </w:r>
    </w:p>
    <w:p w14:paraId="46B099E2" w14:textId="7C6C1F3A" w:rsidR="00E11948" w:rsidRDefault="00E11948" w:rsidP="00E11948">
      <w:pPr>
        <w:pStyle w:val="ListParagraph"/>
        <w:numPr>
          <w:ilvl w:val="0"/>
          <w:numId w:val="5"/>
        </w:numPr>
      </w:pPr>
      <w:r w:rsidRPr="00E11948">
        <w:t xml:space="preserve">Neurological/psychiatric disease:  </w:t>
      </w:r>
      <w:r>
        <w:t>PD, MS</w:t>
      </w:r>
      <w:r w:rsidRPr="00E11948">
        <w:t>, epilepsy, stroke, depression, dementia</w:t>
      </w:r>
    </w:p>
    <w:p w14:paraId="01964F97" w14:textId="5C386354" w:rsidR="00E11948" w:rsidRDefault="00E11948" w:rsidP="00E11948">
      <w:pPr>
        <w:pStyle w:val="ListParagraph"/>
        <w:numPr>
          <w:ilvl w:val="0"/>
          <w:numId w:val="5"/>
        </w:numPr>
      </w:pPr>
      <w:r w:rsidRPr="00E11948">
        <w:t xml:space="preserve">Nutritional deficiencies: calcium, vitamin D [note that vitamin D deficiency </w:t>
      </w:r>
      <w:r>
        <w:t xml:space="preserve">causes </w:t>
      </w:r>
      <w:r w:rsidRPr="00E11948">
        <w:t xml:space="preserve">fracture risk through </w:t>
      </w:r>
      <w:proofErr w:type="spellStart"/>
      <w:r w:rsidRPr="00E11948">
        <w:t>undermineralisation</w:t>
      </w:r>
      <w:proofErr w:type="spellEnd"/>
      <w:r w:rsidRPr="00E11948">
        <w:t xml:space="preserve"> of bone (</w:t>
      </w:r>
      <w:proofErr w:type="spellStart"/>
      <w:r w:rsidRPr="00E11948">
        <w:t>osteomalacia</w:t>
      </w:r>
      <w:proofErr w:type="spellEnd"/>
      <w:r w:rsidRPr="00E11948">
        <w:t>) rather than osteoporosis]</w:t>
      </w:r>
    </w:p>
    <w:p w14:paraId="6ED4028B" w14:textId="4745C433" w:rsidR="00E11948" w:rsidRDefault="00E11948" w:rsidP="00E11948">
      <w:pPr>
        <w:pStyle w:val="ListParagraph"/>
        <w:numPr>
          <w:ilvl w:val="0"/>
          <w:numId w:val="5"/>
        </w:numPr>
      </w:pPr>
      <w:r w:rsidRPr="00E11948">
        <w:t xml:space="preserve">Bariatric surgery and other conditions associated with intestinal malabsorption </w:t>
      </w:r>
      <w:r>
        <w:t>(coeliac).</w:t>
      </w:r>
    </w:p>
    <w:p w14:paraId="32ECFD29" w14:textId="3EEA3BF4" w:rsidR="00E11948" w:rsidRDefault="00E11948">
      <w:r w:rsidRPr="00E11948">
        <w:t>Excess</w:t>
      </w:r>
      <w:r>
        <w:t xml:space="preserve"> </w:t>
      </w:r>
      <w:r w:rsidRPr="00E11948">
        <w:t>l</w:t>
      </w:r>
      <w:r>
        <w:t>-</w:t>
      </w:r>
      <w:r w:rsidRPr="00E11948">
        <w:t>thyroxine. Patients with thyroid cancer with suppressed TSH are at particular risk</w:t>
      </w:r>
      <w:r>
        <w:t>.</w:t>
      </w:r>
    </w:p>
    <w:p w14:paraId="49391EA4" w14:textId="77777777" w:rsidR="00E11948" w:rsidRDefault="00E11948">
      <w:r w:rsidRPr="00E11948">
        <w:t>Drugs affecting gonadal hormone production (aromatase inhibitors, androgen deprivation therapy, medroxyprogesterone acetate, gonadotrophin hormone releasing agonists, gonadotrophin hormone receptor antagonists)</w:t>
      </w:r>
      <w:r>
        <w:t>.</w:t>
      </w:r>
    </w:p>
    <w:p w14:paraId="3E14165B" w14:textId="5A84A135" w:rsidR="00CE1940" w:rsidRPr="00CE1940" w:rsidRDefault="00E11948">
      <w:r w:rsidRPr="00E11948">
        <w:t>Some antiepileptics (</w:t>
      </w:r>
      <w:proofErr w:type="spellStart"/>
      <w:r w:rsidRPr="00E11948">
        <w:t>eg.</w:t>
      </w:r>
      <w:proofErr w:type="spellEnd"/>
      <w:r w:rsidRPr="00E11948">
        <w:t xml:space="preserve"> phenytoin and carbamazepine)</w:t>
      </w:r>
    </w:p>
    <w:p w14:paraId="78BB77BD" w14:textId="42A138FD" w:rsidR="00E11948" w:rsidRPr="00E11948" w:rsidRDefault="00E11948">
      <w:pPr>
        <w:rPr>
          <w:b/>
          <w:bCs/>
          <w:sz w:val="36"/>
          <w:szCs w:val="36"/>
        </w:rPr>
      </w:pPr>
      <w:r w:rsidRPr="00E11948">
        <w:rPr>
          <w:b/>
          <w:bCs/>
          <w:sz w:val="36"/>
          <w:szCs w:val="36"/>
        </w:rPr>
        <w:t xml:space="preserve">2. </w:t>
      </w:r>
      <w:r w:rsidR="00954CC3" w:rsidRPr="00E11948">
        <w:rPr>
          <w:b/>
          <w:bCs/>
          <w:sz w:val="36"/>
          <w:szCs w:val="36"/>
        </w:rPr>
        <w:t>FRAX.</w:t>
      </w:r>
      <w:r w:rsidRPr="00E11948">
        <w:rPr>
          <w:b/>
          <w:bCs/>
          <w:sz w:val="36"/>
          <w:szCs w:val="36"/>
        </w:rPr>
        <w:t xml:space="preserve"> </w:t>
      </w:r>
    </w:p>
    <w:p w14:paraId="77673E05" w14:textId="77777777" w:rsidR="00CE1940" w:rsidRDefault="002A231A">
      <w:pPr>
        <w:rPr>
          <w:color w:val="FF000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EF01B40" wp14:editId="6B11D941">
                <wp:simplePos x="0" y="0"/>
                <wp:positionH relativeFrom="column">
                  <wp:posOffset>1135380</wp:posOffset>
                </wp:positionH>
                <wp:positionV relativeFrom="paragraph">
                  <wp:posOffset>2041525</wp:posOffset>
                </wp:positionV>
                <wp:extent cx="360" cy="360"/>
                <wp:effectExtent l="95250" t="152400" r="114300" b="152400"/>
                <wp:wrapNone/>
                <wp:docPr id="196477386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24915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85.15pt;margin-top:152.25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F64432E" wp14:editId="48095C05">
                <wp:simplePos x="0" y="0"/>
                <wp:positionH relativeFrom="column">
                  <wp:posOffset>1645285</wp:posOffset>
                </wp:positionH>
                <wp:positionV relativeFrom="paragraph">
                  <wp:posOffset>3085465</wp:posOffset>
                </wp:positionV>
                <wp:extent cx="360" cy="360"/>
                <wp:effectExtent l="38100" t="38100" r="38100" b="38100"/>
                <wp:wrapNone/>
                <wp:docPr id="171944282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35FA51" id="Ink 9" o:spid="_x0000_s1026" type="#_x0000_t75" style="position:absolute;margin-left:129.05pt;margin-top:242.4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h6YDN/ABAABsBQAAEAAAAAAAAAAAAAAAAADTAwAAZHJzL2luay9pbmsxLnht&#10;bFBLAQItABQABgAIAAAAIQDyBXGv4QAAAAsBAAAPAAAAAAAAAAAAAAAAAPEFAABkcnMvZG93bnJl&#10;di54bWxQSwECLQAUAAYACAAAACEAeRi8nb8AAAAhAQAAGQAAAAAAAAAAAAAAAAD/BgAAZHJzL19y&#10;ZWxzL2Uyb0RvYy54bWwucmVsc1BLBQYAAAAABgAGAHgBAAD1BwAAAAA=&#10;">
                <v:imagedata r:id="rId9" o:title=""/>
              </v:shape>
            </w:pict>
          </mc:Fallback>
        </mc:AlternateContent>
      </w:r>
      <w:r w:rsidR="00441DC1" w:rsidRPr="002A231A">
        <w:rPr>
          <w:noProof/>
          <w:highlight w:val="yellow"/>
        </w:rPr>
        <w:drawing>
          <wp:inline distT="0" distB="0" distL="0" distR="0" wp14:anchorId="4143CECA" wp14:editId="7F6B2788">
            <wp:extent cx="3086402" cy="3504724"/>
            <wp:effectExtent l="0" t="0" r="0" b="635"/>
            <wp:docPr id="884530123" name="Picture 4" descr="A blue and whit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30123" name="Picture 4" descr="A blue and white background with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54" cy="352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535B2" w14:textId="542054EF" w:rsidR="00E11948" w:rsidRDefault="00E11948">
      <w:r>
        <w:lastRenderedPageBreak/>
        <w:t xml:space="preserve">Give </w:t>
      </w:r>
      <w:proofErr w:type="gramStart"/>
      <w:r>
        <w:t>10 year</w:t>
      </w:r>
      <w:proofErr w:type="gramEnd"/>
      <w:r>
        <w:t xml:space="preserve"> probability of major osteoporotic fracture (MOF).</w:t>
      </w:r>
    </w:p>
    <w:p w14:paraId="34847E03" w14:textId="77777777" w:rsidR="00CE1940" w:rsidRPr="00CE1940" w:rsidRDefault="00CE1940">
      <w:pPr>
        <w:rPr>
          <w:color w:val="FF0000"/>
        </w:rPr>
      </w:pPr>
    </w:p>
    <w:p w14:paraId="6B155184" w14:textId="7183ADB0" w:rsidR="00954CC3" w:rsidRDefault="00E11948">
      <w:r>
        <w:rPr>
          <w:noProof/>
        </w:rPr>
        <w:drawing>
          <wp:inline distT="0" distB="0" distL="0" distR="0" wp14:anchorId="63AB3F6F" wp14:editId="1E249FD6">
            <wp:extent cx="4274516" cy="3263900"/>
            <wp:effectExtent l="0" t="0" r="0" b="0"/>
            <wp:docPr id="1780478329" name="Picture 5" descr="A chart of risk and risk assess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478329" name="Picture 5" descr="A chart of risk and risk assessmen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790" cy="326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AAE05" w14:textId="77777777" w:rsidR="00CE1940" w:rsidRDefault="002A231A">
      <w:r w:rsidRPr="002A231A">
        <w:t xml:space="preserve">Treatment decisions are based on whether they fall above or below the intervention threshold identified for their age. </w:t>
      </w:r>
    </w:p>
    <w:p w14:paraId="25299CCB" w14:textId="6FC1337E" w:rsidR="00E11948" w:rsidRDefault="00CE1940">
      <w:proofErr w:type="spellStart"/>
      <w:r>
        <w:t>Ex:</w:t>
      </w:r>
      <w:r w:rsidR="002A231A" w:rsidRPr="002A231A">
        <w:t>For</w:t>
      </w:r>
      <w:proofErr w:type="spellEnd"/>
      <w:r w:rsidR="002A231A" w:rsidRPr="002A231A">
        <w:t xml:space="preserve"> those aged ≥ 70 years, the intervention threshold is set at 20% probability of major osteoporotic fracture</w:t>
      </w:r>
      <w:r w:rsidR="002A231A">
        <w:t>.</w:t>
      </w:r>
    </w:p>
    <w:p w14:paraId="36AF6351" w14:textId="635A260B" w:rsidR="002A231A" w:rsidRDefault="002A231A">
      <w:r>
        <w:t>Using clinical consideration and FRAX</w:t>
      </w:r>
      <w:r w:rsidR="00CE1940">
        <w:t xml:space="preserve"> may avoid need for DXA.</w:t>
      </w:r>
    </w:p>
    <w:p w14:paraId="04C6E6E1" w14:textId="77777777" w:rsidR="00CE1940" w:rsidRDefault="00CE1940"/>
    <w:p w14:paraId="4D4FBB8E" w14:textId="77777777" w:rsidR="00E11948" w:rsidRPr="00E11948" w:rsidRDefault="00E11948">
      <w:pPr>
        <w:rPr>
          <w:b/>
          <w:bCs/>
          <w:sz w:val="36"/>
          <w:szCs w:val="36"/>
        </w:rPr>
      </w:pPr>
      <w:r w:rsidRPr="00E11948">
        <w:rPr>
          <w:b/>
          <w:bCs/>
          <w:sz w:val="36"/>
          <w:szCs w:val="36"/>
        </w:rPr>
        <w:t>3.</w:t>
      </w:r>
      <w:r w:rsidR="00954CC3" w:rsidRPr="00E11948">
        <w:rPr>
          <w:b/>
          <w:bCs/>
          <w:sz w:val="36"/>
          <w:szCs w:val="36"/>
        </w:rPr>
        <w:t>DXA.</w:t>
      </w:r>
      <w:r w:rsidRPr="00E11948">
        <w:rPr>
          <w:b/>
          <w:bCs/>
          <w:sz w:val="36"/>
          <w:szCs w:val="36"/>
        </w:rPr>
        <w:t xml:space="preserve"> </w:t>
      </w:r>
    </w:p>
    <w:p w14:paraId="132F518A" w14:textId="5F0E93FA" w:rsidR="00954CC3" w:rsidRDefault="00E11948">
      <w:r>
        <w:t>Gold standard.</w:t>
      </w:r>
    </w:p>
    <w:p w14:paraId="2BD4C880" w14:textId="7F50EFDB" w:rsidR="00E11948" w:rsidRDefault="00E11948">
      <w:r>
        <w:t>But half of fractures occur in those who do not have osteoporosis.</w:t>
      </w:r>
    </w:p>
    <w:p w14:paraId="13F6618F" w14:textId="56BDBC52" w:rsidR="00954CC3" w:rsidRDefault="00954CC3">
      <w:r>
        <w:t>Femur more representative as Vertebrae can have collapse causing apparent density.</w:t>
      </w:r>
    </w:p>
    <w:p w14:paraId="24C6CAD0" w14:textId="498479A5" w:rsidR="00954CC3" w:rsidRDefault="00954CC3">
      <w:r>
        <w:t>Both are checked.</w:t>
      </w:r>
    </w:p>
    <w:p w14:paraId="57578535" w14:textId="643DB425" w:rsidR="00954CC3" w:rsidRDefault="00441DC1">
      <w:r>
        <w:t>BMD given as T and Z score.</w:t>
      </w:r>
    </w:p>
    <w:p w14:paraId="3DC3B6AB" w14:textId="4554FE17" w:rsidR="00441DC1" w:rsidRDefault="00441DC1">
      <w:r>
        <w:t>For comparisons use same machine.</w:t>
      </w:r>
    </w:p>
    <w:p w14:paraId="0DBA0C21" w14:textId="58D57479" w:rsidR="00441DC1" w:rsidRDefault="00441DC1">
      <w:r>
        <w:t>Use “worst” score.</w:t>
      </w:r>
    </w:p>
    <w:p w14:paraId="722C984B" w14:textId="3268DB95" w:rsidR="00441DC1" w:rsidRDefault="00441DC1">
      <w:r>
        <w:rPr>
          <w:noProof/>
        </w:rPr>
        <w:lastRenderedPageBreak/>
        <w:drawing>
          <wp:inline distT="0" distB="0" distL="0" distR="0" wp14:anchorId="7BBCB566" wp14:editId="561AED73">
            <wp:extent cx="3208020" cy="2679577"/>
            <wp:effectExtent l="0" t="0" r="0" b="6985"/>
            <wp:docPr id="733761821" name="Picture 3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61821" name="Picture 3" descr="A table with text on i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307" cy="268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65160" w14:textId="77777777" w:rsidR="00441DC1" w:rsidRDefault="00441DC1"/>
    <w:p w14:paraId="7CA9087F" w14:textId="04209BC6" w:rsidR="00954CC3" w:rsidRDefault="00954CC3">
      <w:r>
        <w:t>LVA – often done with DXA.</w:t>
      </w:r>
    </w:p>
    <w:p w14:paraId="3795699C" w14:textId="349A8027" w:rsidR="00954CC3" w:rsidRDefault="00954CC3">
      <w:r>
        <w:t>R</w:t>
      </w:r>
      <w:r w:rsidRPr="00954CC3">
        <w:t xml:space="preserve">ecommended in those with ≥ 4cm height loss, kyphosis, glucocorticoid therapy, BMD ≤ -2.5, or those with acute back pain </w:t>
      </w:r>
      <w:r>
        <w:t>+</w:t>
      </w:r>
      <w:r w:rsidRPr="00954CC3">
        <w:t xml:space="preserve"> risks for osteoporosis.</w:t>
      </w:r>
    </w:p>
    <w:p w14:paraId="10717431" w14:textId="73DD2AF3" w:rsidR="00E11948" w:rsidRDefault="00E11948">
      <w:r>
        <w:t>Checks for vertebral fracture.</w:t>
      </w:r>
    </w:p>
    <w:p w14:paraId="3ADFF9FC" w14:textId="77777777" w:rsidR="002A231A" w:rsidRDefault="002A231A"/>
    <w:p w14:paraId="5BE3ACFB" w14:textId="77777777" w:rsidR="002A231A" w:rsidRDefault="002A231A"/>
    <w:p w14:paraId="0A7D36D6" w14:textId="3290A0A7" w:rsidR="002A231A" w:rsidRPr="00923EC8" w:rsidRDefault="002A231A">
      <w:pPr>
        <w:rPr>
          <w:u w:val="single"/>
        </w:rPr>
      </w:pPr>
      <w:r w:rsidRPr="00923EC8">
        <w:rPr>
          <w:u w:val="single"/>
        </w:rPr>
        <w:t>Other tests – often to r/o secondary causes.</w:t>
      </w:r>
    </w:p>
    <w:p w14:paraId="71BEE229" w14:textId="678250AF" w:rsidR="002A231A" w:rsidRDefault="002A231A" w:rsidP="00923EC8">
      <w:pPr>
        <w:pStyle w:val="ListParagraph"/>
        <w:numPr>
          <w:ilvl w:val="0"/>
          <w:numId w:val="6"/>
        </w:numPr>
      </w:pPr>
      <w:r>
        <w:t>FBC.</w:t>
      </w:r>
    </w:p>
    <w:p w14:paraId="706480F6" w14:textId="7BF4CCCF" w:rsidR="002A231A" w:rsidRDefault="002A231A" w:rsidP="00923EC8">
      <w:pPr>
        <w:pStyle w:val="ListParagraph"/>
        <w:numPr>
          <w:ilvl w:val="0"/>
          <w:numId w:val="6"/>
        </w:numPr>
      </w:pPr>
      <w:r>
        <w:t>Renal, live, bone.</w:t>
      </w:r>
    </w:p>
    <w:p w14:paraId="41836260" w14:textId="6063EA54" w:rsidR="002A231A" w:rsidRDefault="002A231A" w:rsidP="00923EC8">
      <w:pPr>
        <w:pStyle w:val="ListParagraph"/>
        <w:numPr>
          <w:ilvl w:val="0"/>
          <w:numId w:val="6"/>
        </w:numPr>
      </w:pPr>
      <w:r>
        <w:t>TFTs.</w:t>
      </w:r>
    </w:p>
    <w:p w14:paraId="76C19FC0" w14:textId="50DDF428" w:rsidR="002A231A" w:rsidRDefault="002A231A" w:rsidP="00923EC8">
      <w:pPr>
        <w:pStyle w:val="ListParagraph"/>
        <w:numPr>
          <w:ilvl w:val="0"/>
          <w:numId w:val="6"/>
        </w:numPr>
      </w:pPr>
      <w:r>
        <w:t>PTH.</w:t>
      </w:r>
    </w:p>
    <w:p w14:paraId="234F86FD" w14:textId="3280EF81" w:rsidR="002A231A" w:rsidRDefault="002A231A" w:rsidP="00923EC8">
      <w:pPr>
        <w:pStyle w:val="ListParagraph"/>
        <w:numPr>
          <w:ilvl w:val="0"/>
          <w:numId w:val="6"/>
        </w:numPr>
      </w:pPr>
      <w:r>
        <w:t>Vit D level.</w:t>
      </w:r>
    </w:p>
    <w:p w14:paraId="62FCA359" w14:textId="4AD8D8F1" w:rsidR="002A231A" w:rsidRDefault="002A231A" w:rsidP="00923EC8">
      <w:pPr>
        <w:pStyle w:val="ListParagraph"/>
        <w:numPr>
          <w:ilvl w:val="0"/>
          <w:numId w:val="6"/>
        </w:numPr>
      </w:pPr>
      <w:r>
        <w:t>ESR /CRP.</w:t>
      </w:r>
    </w:p>
    <w:p w14:paraId="437A2A50" w14:textId="3403AD01" w:rsidR="002A231A" w:rsidRDefault="002A231A" w:rsidP="00923EC8">
      <w:pPr>
        <w:pStyle w:val="ListParagraph"/>
        <w:numPr>
          <w:ilvl w:val="0"/>
          <w:numId w:val="6"/>
        </w:numPr>
      </w:pPr>
      <w:r>
        <w:t>Coeliac screen.</w:t>
      </w:r>
    </w:p>
    <w:p w14:paraId="7A6FB3D5" w14:textId="2F74D48D" w:rsidR="002A231A" w:rsidRDefault="002A231A" w:rsidP="00923EC8">
      <w:pPr>
        <w:pStyle w:val="ListParagraph"/>
        <w:numPr>
          <w:ilvl w:val="0"/>
          <w:numId w:val="6"/>
        </w:numPr>
      </w:pPr>
      <w:r>
        <w:t>Myeloma screen.</w:t>
      </w:r>
    </w:p>
    <w:p w14:paraId="30218369" w14:textId="39A315F4" w:rsidR="002A231A" w:rsidRDefault="002A231A" w:rsidP="00923EC8">
      <w:pPr>
        <w:pStyle w:val="ListParagraph"/>
        <w:numPr>
          <w:ilvl w:val="0"/>
          <w:numId w:val="6"/>
        </w:numPr>
      </w:pPr>
      <w:r>
        <w:t>AI screen.</w:t>
      </w:r>
    </w:p>
    <w:p w14:paraId="160B8481" w14:textId="1751CBC8" w:rsidR="00923EC8" w:rsidRDefault="00923EC8" w:rsidP="00923EC8">
      <w:pPr>
        <w:pStyle w:val="ListParagraph"/>
        <w:numPr>
          <w:ilvl w:val="0"/>
          <w:numId w:val="6"/>
        </w:numPr>
      </w:pPr>
      <w:r>
        <w:t>Testosterone.</w:t>
      </w:r>
    </w:p>
    <w:p w14:paraId="691910AF" w14:textId="77777777" w:rsidR="00923EC8" w:rsidRDefault="00923EC8" w:rsidP="00923EC8"/>
    <w:p w14:paraId="4C98D960" w14:textId="77777777" w:rsidR="00923EC8" w:rsidRDefault="00923EC8" w:rsidP="00923EC8"/>
    <w:p w14:paraId="0E03A4BA" w14:textId="77777777" w:rsidR="00CE1940" w:rsidRDefault="00CE1940" w:rsidP="00923EC8">
      <w:pPr>
        <w:jc w:val="center"/>
        <w:rPr>
          <w:b/>
          <w:bCs/>
        </w:rPr>
      </w:pPr>
    </w:p>
    <w:p w14:paraId="0F2B5F64" w14:textId="77777777" w:rsidR="00CE1940" w:rsidRDefault="00CE1940" w:rsidP="00923EC8">
      <w:pPr>
        <w:jc w:val="center"/>
        <w:rPr>
          <w:b/>
          <w:bCs/>
        </w:rPr>
      </w:pPr>
    </w:p>
    <w:p w14:paraId="61AF4020" w14:textId="77777777" w:rsidR="00CE1940" w:rsidRDefault="00CE1940" w:rsidP="00923EC8">
      <w:pPr>
        <w:jc w:val="center"/>
        <w:rPr>
          <w:b/>
          <w:bCs/>
        </w:rPr>
      </w:pPr>
    </w:p>
    <w:p w14:paraId="644C12FC" w14:textId="77777777" w:rsidR="00CE1940" w:rsidRDefault="00CE1940" w:rsidP="00923EC8">
      <w:pPr>
        <w:jc w:val="center"/>
        <w:rPr>
          <w:b/>
          <w:bCs/>
        </w:rPr>
      </w:pPr>
    </w:p>
    <w:p w14:paraId="64BBCDAA" w14:textId="1B3BE850" w:rsidR="00923EC8" w:rsidRDefault="00923EC8" w:rsidP="00923EC8">
      <w:pPr>
        <w:jc w:val="center"/>
        <w:rPr>
          <w:b/>
          <w:bCs/>
        </w:rPr>
      </w:pPr>
      <w:r w:rsidRPr="00923EC8">
        <w:rPr>
          <w:b/>
          <w:bCs/>
        </w:rPr>
        <w:lastRenderedPageBreak/>
        <w:t>So, strengthen the bone and reduce the falls.</w:t>
      </w:r>
    </w:p>
    <w:p w14:paraId="7DED935A" w14:textId="59D83CA9" w:rsidR="00923EC8" w:rsidRPr="00923EC8" w:rsidRDefault="00923EC8" w:rsidP="00923EC8">
      <w:pPr>
        <w:rPr>
          <w:u w:val="single"/>
        </w:rPr>
      </w:pPr>
      <w:r w:rsidRPr="00923EC8">
        <w:rPr>
          <w:u w:val="single"/>
        </w:rPr>
        <w:t>Non-pharmacological advice to all.</w:t>
      </w:r>
    </w:p>
    <w:p w14:paraId="79264425" w14:textId="6D6F7830" w:rsidR="00923EC8" w:rsidRDefault="00923EC8" w:rsidP="00923EC8">
      <w:pPr>
        <w:pStyle w:val="ListParagraph"/>
        <w:numPr>
          <w:ilvl w:val="0"/>
          <w:numId w:val="7"/>
        </w:numPr>
      </w:pPr>
      <w:r w:rsidRPr="00923EC8">
        <w:t>Smoking cessation</w:t>
      </w:r>
      <w:r>
        <w:t>.</w:t>
      </w:r>
    </w:p>
    <w:p w14:paraId="2E9404B5" w14:textId="0338421C" w:rsidR="00923EC8" w:rsidRDefault="00923EC8" w:rsidP="00923EC8">
      <w:pPr>
        <w:pStyle w:val="ListParagraph"/>
        <w:numPr>
          <w:ilvl w:val="0"/>
          <w:numId w:val="7"/>
        </w:numPr>
      </w:pPr>
      <w:r>
        <w:t>&lt;2 U alcohol / day.</w:t>
      </w:r>
    </w:p>
    <w:p w14:paraId="51C4BD11" w14:textId="4C1134EE" w:rsidR="00923EC8" w:rsidRDefault="00923EC8" w:rsidP="00923EC8">
      <w:pPr>
        <w:pStyle w:val="ListParagraph"/>
        <w:numPr>
          <w:ilvl w:val="0"/>
          <w:numId w:val="7"/>
        </w:numPr>
      </w:pPr>
      <w:r w:rsidRPr="00923EC8">
        <w:t>A healthy</w:t>
      </w:r>
      <w:r>
        <w:t xml:space="preserve"> </w:t>
      </w:r>
      <w:r w:rsidRPr="00923EC8">
        <w:t>diet, wit</w:t>
      </w:r>
      <w:r>
        <w:t>h</w:t>
      </w:r>
      <w:r w:rsidRPr="00923EC8">
        <w:t xml:space="preserve"> calcium of 800-1,200mg per day is recommended</w:t>
      </w:r>
      <w:r>
        <w:t>.</w:t>
      </w:r>
    </w:p>
    <w:p w14:paraId="6722300F" w14:textId="3523702B" w:rsidR="00923EC8" w:rsidRDefault="00923EC8" w:rsidP="00923EC8">
      <w:pPr>
        <w:pStyle w:val="ListParagraph"/>
        <w:numPr>
          <w:ilvl w:val="0"/>
          <w:numId w:val="7"/>
        </w:numPr>
      </w:pPr>
      <w:r>
        <w:t xml:space="preserve">Supplement with Vit D as per HSE. </w:t>
      </w:r>
    </w:p>
    <w:p w14:paraId="40A610F6" w14:textId="5EAC48D7" w:rsidR="00923EC8" w:rsidRDefault="00923EC8" w:rsidP="00923EC8">
      <w:pPr>
        <w:pStyle w:val="ListParagraph"/>
        <w:numPr>
          <w:ilvl w:val="0"/>
          <w:numId w:val="7"/>
        </w:numPr>
      </w:pPr>
      <w:r>
        <w:t>Exercise – age specific guides available. Balance exercises v useful.</w:t>
      </w:r>
    </w:p>
    <w:p w14:paraId="6E065698" w14:textId="776BF03B" w:rsidR="00923EC8" w:rsidRDefault="00923EC8" w:rsidP="00923EC8">
      <w:pPr>
        <w:pStyle w:val="ListParagraph"/>
        <w:numPr>
          <w:ilvl w:val="0"/>
          <w:numId w:val="7"/>
        </w:numPr>
      </w:pPr>
      <w:r>
        <w:t>Falls assessment including meds review, eyesight, trip hazards etc.</w:t>
      </w:r>
    </w:p>
    <w:p w14:paraId="70DD8C93" w14:textId="77777777" w:rsidR="00923EC8" w:rsidRDefault="00923EC8" w:rsidP="00923EC8"/>
    <w:p w14:paraId="78E97F80" w14:textId="79B42F88" w:rsidR="00923EC8" w:rsidRPr="00D65285" w:rsidRDefault="00923EC8" w:rsidP="00923EC8">
      <w:pPr>
        <w:rPr>
          <w:u w:val="single"/>
        </w:rPr>
      </w:pPr>
      <w:r w:rsidRPr="00D65285">
        <w:rPr>
          <w:u w:val="single"/>
        </w:rPr>
        <w:t>Pharmacology.</w:t>
      </w:r>
    </w:p>
    <w:p w14:paraId="0476F384" w14:textId="2241D669" w:rsidR="00D65285" w:rsidRDefault="00D65285" w:rsidP="00923EC8">
      <w:r>
        <w:t>HRT if &lt; 60.</w:t>
      </w:r>
    </w:p>
    <w:p w14:paraId="5AA17BE7" w14:textId="1789A13B" w:rsidR="00D65285" w:rsidRDefault="00D65285" w:rsidP="00923EC8">
      <w:r>
        <w:t xml:space="preserve">Bisphosphonates. Alendronate 70mgs weekly. Review in 3m then every 12m. Osteonecrosis of </w:t>
      </w:r>
      <w:proofErr w:type="gramStart"/>
      <w:r>
        <w:t>jaw -rare</w:t>
      </w:r>
      <w:proofErr w:type="gramEnd"/>
      <w:r>
        <w:t>. Atypical femur fractures -rare, duration dependant (</w:t>
      </w:r>
      <w:proofErr w:type="spellStart"/>
      <w:r>
        <w:t>esp</w:t>
      </w:r>
      <w:proofErr w:type="spellEnd"/>
      <w:r>
        <w:t xml:space="preserve"> &gt; 8y). Benefits continue after stopping – drug holiday to reduce risk but continue benefit. Review at 5 years to see if staying on – use FRAX or DXA to assess. Max 10 years.</w:t>
      </w:r>
    </w:p>
    <w:p w14:paraId="1A232AC8" w14:textId="6130BCB8" w:rsidR="00D65285" w:rsidRDefault="00D65285" w:rsidP="00923EC8">
      <w:proofErr w:type="spellStart"/>
      <w:r>
        <w:t>Denusomab</w:t>
      </w:r>
      <w:proofErr w:type="spellEnd"/>
      <w:r>
        <w:t>.</w:t>
      </w:r>
      <w:r w:rsidR="00CE1940">
        <w:t xml:space="preserve"> MAB. 10 years. Rapid wearing off so no drug holiday! Need to back fill. 6m. Check Ca++. 1 in 200 </w:t>
      </w:r>
      <w:proofErr w:type="gramStart"/>
      <w:r w:rsidR="00CE1940">
        <w:t>risk</w:t>
      </w:r>
      <w:proofErr w:type="gramEnd"/>
      <w:r w:rsidR="00CE1940">
        <w:t xml:space="preserve"> of hypocalcaemia.</w:t>
      </w:r>
    </w:p>
    <w:p w14:paraId="136EFF99" w14:textId="2C770BF0" w:rsidR="00CE1940" w:rsidRDefault="00CE1940" w:rsidP="00923EC8">
      <w:r>
        <w:t>Teriparatide – hospital , 2 years daily S/C injection of PTH.</w:t>
      </w:r>
    </w:p>
    <w:p w14:paraId="3DDE87FA" w14:textId="762B4469" w:rsidR="00D65285" w:rsidRDefault="00D65285" w:rsidP="00923EC8">
      <w:r>
        <w:t>Strontium.</w:t>
      </w:r>
    </w:p>
    <w:p w14:paraId="0B99AD73" w14:textId="000A54C7" w:rsidR="00CE1940" w:rsidRDefault="00CE1940" w:rsidP="00923EC8">
      <w:r>
        <w:t>SERMs.</w:t>
      </w:r>
    </w:p>
    <w:p w14:paraId="2EE2397E" w14:textId="77777777" w:rsidR="00D65285" w:rsidRDefault="00D65285" w:rsidP="00923EC8"/>
    <w:p w14:paraId="0E83511E" w14:textId="77777777" w:rsidR="00923EC8" w:rsidRDefault="00923EC8" w:rsidP="00923EC8"/>
    <w:p w14:paraId="506EF809" w14:textId="77777777" w:rsidR="00D65285" w:rsidRDefault="00D65285" w:rsidP="00923EC8"/>
    <w:p w14:paraId="29AD8432" w14:textId="3BE8FDB2" w:rsidR="00D65285" w:rsidRDefault="00D65285" w:rsidP="00923EC8">
      <w:r>
        <w:t>Who might we need to refer?</w:t>
      </w:r>
    </w:p>
    <w:p w14:paraId="3B605860" w14:textId="77777777" w:rsidR="00D65285" w:rsidRDefault="00D65285" w:rsidP="00D65285">
      <w:pPr>
        <w:pStyle w:val="ListParagraph"/>
        <w:numPr>
          <w:ilvl w:val="0"/>
          <w:numId w:val="8"/>
        </w:numPr>
      </w:pPr>
      <w:r>
        <w:t>R</w:t>
      </w:r>
      <w:r w:rsidRPr="00D65285">
        <w:t>ecent vertebral fracture</w:t>
      </w:r>
      <w:r>
        <w:t>.</w:t>
      </w:r>
    </w:p>
    <w:p w14:paraId="10BB8BC8" w14:textId="77777777" w:rsidR="00D65285" w:rsidRDefault="00D65285" w:rsidP="00D65285">
      <w:pPr>
        <w:pStyle w:val="ListParagraph"/>
        <w:numPr>
          <w:ilvl w:val="0"/>
          <w:numId w:val="8"/>
        </w:numPr>
      </w:pPr>
      <w:r>
        <w:t>H</w:t>
      </w:r>
      <w:r w:rsidRPr="00D65285">
        <w:t>istory of two or more vertebral fractures at any time</w:t>
      </w:r>
      <w:r>
        <w:t>.</w:t>
      </w:r>
    </w:p>
    <w:p w14:paraId="5F8BFB0B" w14:textId="77777777" w:rsidR="00D65285" w:rsidRDefault="00D65285" w:rsidP="00D65285">
      <w:pPr>
        <w:pStyle w:val="ListParagraph"/>
        <w:numPr>
          <w:ilvl w:val="0"/>
          <w:numId w:val="8"/>
        </w:numPr>
      </w:pPr>
      <w:r w:rsidRPr="00D65285">
        <w:t xml:space="preserve">BMD ≤ -3.5 </w:t>
      </w:r>
    </w:p>
    <w:p w14:paraId="27C6A623" w14:textId="39E3A982" w:rsidR="00D65285" w:rsidRDefault="00D65285" w:rsidP="00D65285">
      <w:pPr>
        <w:pStyle w:val="ListParagraph"/>
        <w:numPr>
          <w:ilvl w:val="0"/>
          <w:numId w:val="8"/>
        </w:numPr>
      </w:pPr>
      <w:r>
        <w:t>O</w:t>
      </w:r>
      <w:r w:rsidRPr="00D65285">
        <w:t>ngoing treatment with glucocorticoids at a dose of ≥ 7.5mg per day.</w:t>
      </w:r>
    </w:p>
    <w:p w14:paraId="3DEDCED8" w14:textId="77777777" w:rsidR="00923EC8" w:rsidRPr="00923EC8" w:rsidRDefault="00923EC8" w:rsidP="00923EC8"/>
    <w:sectPr w:rsidR="00923EC8" w:rsidRPr="00923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2444"/>
    <w:multiLevelType w:val="hybridMultilevel"/>
    <w:tmpl w:val="14509F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93975"/>
    <w:multiLevelType w:val="hybridMultilevel"/>
    <w:tmpl w:val="157CA9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D2FAF"/>
    <w:multiLevelType w:val="hybridMultilevel"/>
    <w:tmpl w:val="12EEB1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36EA4"/>
    <w:multiLevelType w:val="hybridMultilevel"/>
    <w:tmpl w:val="ACBE8B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1512E"/>
    <w:multiLevelType w:val="hybridMultilevel"/>
    <w:tmpl w:val="1BCE1B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11B49"/>
    <w:multiLevelType w:val="hybridMultilevel"/>
    <w:tmpl w:val="DD7A3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C2074"/>
    <w:multiLevelType w:val="hybridMultilevel"/>
    <w:tmpl w:val="8C5659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63B1"/>
    <w:multiLevelType w:val="hybridMultilevel"/>
    <w:tmpl w:val="0F06AE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231420">
    <w:abstractNumId w:val="3"/>
  </w:num>
  <w:num w:numId="2" w16cid:durableId="614561315">
    <w:abstractNumId w:val="5"/>
  </w:num>
  <w:num w:numId="3" w16cid:durableId="984507338">
    <w:abstractNumId w:val="0"/>
  </w:num>
  <w:num w:numId="4" w16cid:durableId="836574656">
    <w:abstractNumId w:val="7"/>
  </w:num>
  <w:num w:numId="5" w16cid:durableId="149634877">
    <w:abstractNumId w:val="2"/>
  </w:num>
  <w:num w:numId="6" w16cid:durableId="1853571195">
    <w:abstractNumId w:val="4"/>
  </w:num>
  <w:num w:numId="7" w16cid:durableId="11731787">
    <w:abstractNumId w:val="6"/>
  </w:num>
  <w:num w:numId="8" w16cid:durableId="86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45DC101-E1FD-474E-8EF9-BF210CD7A5D8}"/>
    <w:docVar w:name="dgnword-eventsink" w:val="2663914141680"/>
  </w:docVars>
  <w:rsids>
    <w:rsidRoot w:val="00666A3D"/>
    <w:rsid w:val="001218B6"/>
    <w:rsid w:val="002A231A"/>
    <w:rsid w:val="00441DC1"/>
    <w:rsid w:val="00666A3D"/>
    <w:rsid w:val="00923EC8"/>
    <w:rsid w:val="00954CC3"/>
    <w:rsid w:val="00CE1940"/>
    <w:rsid w:val="00D162A8"/>
    <w:rsid w:val="00D65285"/>
    <w:rsid w:val="00E1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51E1"/>
  <w15:chartTrackingRefBased/>
  <w15:docId w15:val="{F072A76B-3295-4FE7-B091-6FAA30A1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1T23:50:43.307"/>
    </inkml:context>
    <inkml:brush xml:id="br0">
      <inkml:brushProperty name="width" value="0.3" units="cm"/>
      <inkml:brushProperty name="height" value="0.6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0,'-1'0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1T23:50:19.97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24575,'-1'0'-8191</inkml:trace>
  <inkml:trace contextRef="#ctx0" brushRef="#br0" timeOffset="359.21">1 0 24575,'-1'0'-8191</inkml:trace>
  <inkml:trace contextRef="#ctx0" brushRef="#br0" timeOffset="707.22">1 0 24575,'-1'0'-8191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thompson</dc:creator>
  <cp:keywords/>
  <dc:description/>
  <cp:lastModifiedBy>Mike Thompson</cp:lastModifiedBy>
  <cp:revision>2</cp:revision>
  <dcterms:created xsi:type="dcterms:W3CDTF">2024-03-05T12:13:00Z</dcterms:created>
  <dcterms:modified xsi:type="dcterms:W3CDTF">2024-03-05T12:13:00Z</dcterms:modified>
</cp:coreProperties>
</file>